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1CD" w:rsidRDefault="00C201CD" w:rsidP="00FC5BD4">
      <w:pPr>
        <w:spacing w:line="360" w:lineRule="auto"/>
      </w:pPr>
      <w:bookmarkStart w:id="0" w:name="_GoBack"/>
      <w:bookmarkEnd w:id="0"/>
    </w:p>
    <w:p w:rsidR="00C201CD" w:rsidRDefault="00C201CD" w:rsidP="00FC5BD4">
      <w:pPr>
        <w:spacing w:line="360" w:lineRule="auto"/>
      </w:pPr>
    </w:p>
    <w:p w:rsidR="005019AC" w:rsidRPr="000C4878" w:rsidRDefault="00FC5BD4" w:rsidP="00FC5BD4">
      <w:pPr>
        <w:pStyle w:val="Dokumenttitel"/>
        <w:spacing w:before="0" w:line="360" w:lineRule="auto"/>
      </w:pPr>
      <w:r w:rsidRPr="00FC5BD4">
        <w:rPr>
          <w:sz w:val="40"/>
          <w:szCs w:val="40"/>
        </w:rPr>
        <w:br/>
      </w:r>
      <w:r>
        <w:br/>
      </w:r>
      <w:r w:rsidR="006865E3">
        <w:t xml:space="preserve">bilag </w:t>
      </w:r>
      <w:r w:rsidR="000C5FDB">
        <w:t>1</w:t>
      </w:r>
      <w:r w:rsidR="00CB2343">
        <w:t>1</w:t>
      </w:r>
      <w:r w:rsidR="006865E3">
        <w:t xml:space="preserve"> </w:t>
      </w:r>
      <w:r w:rsidR="00B56F01">
        <w:t>–</w:t>
      </w:r>
      <w:r w:rsidR="006865E3">
        <w:t xml:space="preserve"> </w:t>
      </w:r>
      <w:r w:rsidR="00895A1D">
        <w:t xml:space="preserve">servicemål </w:t>
      </w:r>
    </w:p>
    <w:p w:rsidR="004B16AD" w:rsidRPr="000C4878" w:rsidRDefault="004B16AD" w:rsidP="00FC5BD4">
      <w:pPr>
        <w:pStyle w:val="Dokumenttitel"/>
        <w:spacing w:line="360" w:lineRule="auto"/>
        <w:jc w:val="left"/>
      </w:pPr>
      <w:r w:rsidRPr="000C4878">
        <w:t>Indhold</w:t>
      </w:r>
    </w:p>
    <w:p w:rsidR="002A1C0D" w:rsidRDefault="007157FF">
      <w:pPr>
        <w:pStyle w:val="Indholdsfortegnelse1"/>
        <w:tabs>
          <w:tab w:val="left" w:pos="1418"/>
        </w:tabs>
        <w:rPr>
          <w:rFonts w:asciiTheme="minorHAnsi" w:eastAsiaTheme="minorEastAsia" w:hAnsiTheme="minorHAnsi" w:cstheme="minorBidi"/>
          <w:bCs w:val="0"/>
          <w:noProof/>
          <w:spacing w:val="0"/>
          <w:sz w:val="22"/>
          <w:szCs w:val="22"/>
        </w:rPr>
      </w:pPr>
      <w:r w:rsidRPr="008F5997">
        <w:rPr>
          <w:caps/>
        </w:rPr>
        <w:fldChar w:fldCharType="begin"/>
      </w:r>
      <w:r w:rsidR="003561CB" w:rsidRPr="008F5997">
        <w:rPr>
          <w:caps/>
        </w:rPr>
        <w:instrText xml:space="preserve"> TOC \o "1-3" \h \z \u </w:instrText>
      </w:r>
      <w:r w:rsidRPr="008F5997">
        <w:rPr>
          <w:caps/>
        </w:rPr>
        <w:fldChar w:fldCharType="separate"/>
      </w:r>
      <w:hyperlink w:anchor="_Toc418509586" w:history="1">
        <w:r w:rsidR="002A1C0D" w:rsidRPr="00255733">
          <w:rPr>
            <w:rStyle w:val="Hyperlink"/>
            <w:rFonts w:eastAsia="Times New Roman"/>
            <w:caps/>
            <w:noProof/>
          </w:rPr>
          <w:t>1.</w:t>
        </w:r>
        <w:r w:rsidR="002A1C0D">
          <w:rPr>
            <w:rFonts w:asciiTheme="minorHAnsi" w:eastAsiaTheme="minorEastAsia" w:hAnsiTheme="minorHAnsi" w:cstheme="minorBidi"/>
            <w:bCs w:val="0"/>
            <w:noProof/>
            <w:spacing w:val="0"/>
            <w:sz w:val="22"/>
            <w:szCs w:val="22"/>
          </w:rPr>
          <w:tab/>
        </w:r>
        <w:r w:rsidR="002A1C0D" w:rsidRPr="00255733">
          <w:rPr>
            <w:rStyle w:val="Hyperlink"/>
            <w:rFonts w:eastAsia="Times New Roman"/>
            <w:caps/>
            <w:noProof/>
          </w:rPr>
          <w:t>Bilagsvejledning</w:t>
        </w:r>
        <w:r w:rsidR="002A1C0D">
          <w:rPr>
            <w:noProof/>
            <w:webHidden/>
          </w:rPr>
          <w:tab/>
        </w:r>
        <w:r>
          <w:rPr>
            <w:noProof/>
            <w:webHidden/>
          </w:rPr>
          <w:fldChar w:fldCharType="begin"/>
        </w:r>
        <w:r w:rsidR="002A1C0D">
          <w:rPr>
            <w:noProof/>
            <w:webHidden/>
          </w:rPr>
          <w:instrText xml:space="preserve"> PAGEREF _Toc418509586 \h </w:instrText>
        </w:r>
        <w:r>
          <w:rPr>
            <w:noProof/>
            <w:webHidden/>
          </w:rPr>
        </w:r>
        <w:r>
          <w:rPr>
            <w:noProof/>
            <w:webHidden/>
          </w:rPr>
          <w:fldChar w:fldCharType="separate"/>
        </w:r>
        <w:r w:rsidR="002A1C0D">
          <w:rPr>
            <w:noProof/>
            <w:webHidden/>
          </w:rPr>
          <w:t>2</w:t>
        </w:r>
        <w:r>
          <w:rPr>
            <w:noProof/>
            <w:webHidden/>
          </w:rPr>
          <w:fldChar w:fldCharType="end"/>
        </w:r>
      </w:hyperlink>
    </w:p>
    <w:p w:rsidR="002A1C0D" w:rsidRDefault="00E63AB7">
      <w:pPr>
        <w:pStyle w:val="Indholdsfortegnelse1"/>
        <w:tabs>
          <w:tab w:val="left" w:pos="1418"/>
        </w:tabs>
        <w:rPr>
          <w:rFonts w:asciiTheme="minorHAnsi" w:eastAsiaTheme="minorEastAsia" w:hAnsiTheme="minorHAnsi" w:cstheme="minorBidi"/>
          <w:bCs w:val="0"/>
          <w:noProof/>
          <w:spacing w:val="0"/>
          <w:sz w:val="22"/>
          <w:szCs w:val="22"/>
        </w:rPr>
      </w:pPr>
      <w:hyperlink w:anchor="_Toc418509587" w:history="1">
        <w:r w:rsidR="002A1C0D" w:rsidRPr="00255733">
          <w:rPr>
            <w:rStyle w:val="Hyperlink"/>
            <w:rFonts w:eastAsia="Times New Roman"/>
            <w:caps/>
            <w:noProof/>
          </w:rPr>
          <w:t>2.</w:t>
        </w:r>
        <w:r w:rsidR="002A1C0D">
          <w:rPr>
            <w:rFonts w:asciiTheme="minorHAnsi" w:eastAsiaTheme="minorEastAsia" w:hAnsiTheme="minorHAnsi" w:cstheme="minorBidi"/>
            <w:bCs w:val="0"/>
            <w:noProof/>
            <w:spacing w:val="0"/>
            <w:sz w:val="22"/>
            <w:szCs w:val="22"/>
          </w:rPr>
          <w:tab/>
        </w:r>
        <w:r w:rsidR="002A1C0D" w:rsidRPr="00255733">
          <w:rPr>
            <w:rStyle w:val="Hyperlink"/>
            <w:rFonts w:eastAsia="Times New Roman"/>
            <w:caps/>
            <w:noProof/>
          </w:rPr>
          <w:t>Forudsætninger for servicemål</w:t>
        </w:r>
        <w:r w:rsidR="002A1C0D">
          <w:rPr>
            <w:noProof/>
            <w:webHidden/>
          </w:rPr>
          <w:tab/>
        </w:r>
        <w:r w:rsidR="007157FF">
          <w:rPr>
            <w:noProof/>
            <w:webHidden/>
          </w:rPr>
          <w:fldChar w:fldCharType="begin"/>
        </w:r>
        <w:r w:rsidR="002A1C0D">
          <w:rPr>
            <w:noProof/>
            <w:webHidden/>
          </w:rPr>
          <w:instrText xml:space="preserve"> PAGEREF _Toc418509587 \h </w:instrText>
        </w:r>
        <w:r w:rsidR="007157FF">
          <w:rPr>
            <w:noProof/>
            <w:webHidden/>
          </w:rPr>
        </w:r>
        <w:r w:rsidR="007157FF">
          <w:rPr>
            <w:noProof/>
            <w:webHidden/>
          </w:rPr>
          <w:fldChar w:fldCharType="separate"/>
        </w:r>
        <w:r w:rsidR="002A1C0D">
          <w:rPr>
            <w:noProof/>
            <w:webHidden/>
          </w:rPr>
          <w:t>3</w:t>
        </w:r>
        <w:r w:rsidR="007157FF">
          <w:rPr>
            <w:noProof/>
            <w:webHidden/>
          </w:rPr>
          <w:fldChar w:fldCharType="end"/>
        </w:r>
      </w:hyperlink>
    </w:p>
    <w:p w:rsidR="002A1C0D" w:rsidRDefault="00E63AB7">
      <w:pPr>
        <w:pStyle w:val="Indholdsfortegnelse1"/>
        <w:tabs>
          <w:tab w:val="left" w:pos="1418"/>
        </w:tabs>
        <w:rPr>
          <w:rFonts w:asciiTheme="minorHAnsi" w:eastAsiaTheme="minorEastAsia" w:hAnsiTheme="minorHAnsi" w:cstheme="minorBidi"/>
          <w:bCs w:val="0"/>
          <w:noProof/>
          <w:spacing w:val="0"/>
          <w:sz w:val="22"/>
          <w:szCs w:val="22"/>
        </w:rPr>
      </w:pPr>
      <w:hyperlink w:anchor="_Toc418509588" w:history="1">
        <w:r w:rsidR="002A1C0D" w:rsidRPr="00255733">
          <w:rPr>
            <w:rStyle w:val="Hyperlink"/>
            <w:rFonts w:eastAsia="Times New Roman"/>
            <w:caps/>
            <w:noProof/>
          </w:rPr>
          <w:t>3.</w:t>
        </w:r>
        <w:r w:rsidR="002A1C0D">
          <w:rPr>
            <w:rFonts w:asciiTheme="minorHAnsi" w:eastAsiaTheme="minorEastAsia" w:hAnsiTheme="minorHAnsi" w:cstheme="minorBidi"/>
            <w:bCs w:val="0"/>
            <w:noProof/>
            <w:spacing w:val="0"/>
            <w:sz w:val="22"/>
            <w:szCs w:val="22"/>
          </w:rPr>
          <w:tab/>
        </w:r>
        <w:r w:rsidR="002A1C0D" w:rsidRPr="00255733">
          <w:rPr>
            <w:rStyle w:val="Hyperlink"/>
            <w:rFonts w:eastAsia="Times New Roman"/>
            <w:caps/>
            <w:noProof/>
          </w:rPr>
          <w:t>Driftseffektivitet</w:t>
        </w:r>
        <w:r w:rsidR="002A1C0D">
          <w:rPr>
            <w:noProof/>
            <w:webHidden/>
          </w:rPr>
          <w:tab/>
        </w:r>
        <w:r w:rsidR="007157FF">
          <w:rPr>
            <w:noProof/>
            <w:webHidden/>
          </w:rPr>
          <w:fldChar w:fldCharType="begin"/>
        </w:r>
        <w:r w:rsidR="002A1C0D">
          <w:rPr>
            <w:noProof/>
            <w:webHidden/>
          </w:rPr>
          <w:instrText xml:space="preserve"> PAGEREF _Toc418509588 \h </w:instrText>
        </w:r>
        <w:r w:rsidR="007157FF">
          <w:rPr>
            <w:noProof/>
            <w:webHidden/>
          </w:rPr>
        </w:r>
        <w:r w:rsidR="007157FF">
          <w:rPr>
            <w:noProof/>
            <w:webHidden/>
          </w:rPr>
          <w:fldChar w:fldCharType="separate"/>
        </w:r>
        <w:r w:rsidR="002A1C0D">
          <w:rPr>
            <w:noProof/>
            <w:webHidden/>
          </w:rPr>
          <w:t>3</w:t>
        </w:r>
        <w:r w:rsidR="007157FF">
          <w:rPr>
            <w:noProof/>
            <w:webHidden/>
          </w:rPr>
          <w:fldChar w:fldCharType="end"/>
        </w:r>
      </w:hyperlink>
    </w:p>
    <w:p w:rsidR="002A1C0D" w:rsidRDefault="00E63AB7">
      <w:pPr>
        <w:pStyle w:val="Indholdsfortegnelse1"/>
        <w:tabs>
          <w:tab w:val="left" w:pos="1418"/>
        </w:tabs>
        <w:rPr>
          <w:rFonts w:asciiTheme="minorHAnsi" w:eastAsiaTheme="minorEastAsia" w:hAnsiTheme="minorHAnsi" w:cstheme="minorBidi"/>
          <w:bCs w:val="0"/>
          <w:noProof/>
          <w:spacing w:val="0"/>
          <w:sz w:val="22"/>
          <w:szCs w:val="22"/>
        </w:rPr>
      </w:pPr>
      <w:hyperlink w:anchor="_Toc418509589" w:history="1">
        <w:r w:rsidR="002A1C0D" w:rsidRPr="00255733">
          <w:rPr>
            <w:rStyle w:val="Hyperlink"/>
            <w:rFonts w:eastAsia="Times New Roman"/>
            <w:caps/>
            <w:noProof/>
          </w:rPr>
          <w:t>4.</w:t>
        </w:r>
        <w:r w:rsidR="002A1C0D">
          <w:rPr>
            <w:rFonts w:asciiTheme="minorHAnsi" w:eastAsiaTheme="minorEastAsia" w:hAnsiTheme="minorHAnsi" w:cstheme="minorBidi"/>
            <w:bCs w:val="0"/>
            <w:noProof/>
            <w:spacing w:val="0"/>
            <w:sz w:val="22"/>
            <w:szCs w:val="22"/>
          </w:rPr>
          <w:tab/>
        </w:r>
        <w:r w:rsidR="002A1C0D" w:rsidRPr="00255733">
          <w:rPr>
            <w:rStyle w:val="Hyperlink"/>
            <w:rFonts w:eastAsia="Times New Roman"/>
            <w:caps/>
            <w:noProof/>
          </w:rPr>
          <w:t>Reaktionstider</w:t>
        </w:r>
        <w:r w:rsidR="002A1C0D">
          <w:rPr>
            <w:noProof/>
            <w:webHidden/>
          </w:rPr>
          <w:tab/>
        </w:r>
        <w:r w:rsidR="007157FF">
          <w:rPr>
            <w:noProof/>
            <w:webHidden/>
          </w:rPr>
          <w:fldChar w:fldCharType="begin"/>
        </w:r>
        <w:r w:rsidR="002A1C0D">
          <w:rPr>
            <w:noProof/>
            <w:webHidden/>
          </w:rPr>
          <w:instrText xml:space="preserve"> PAGEREF _Toc418509589 \h </w:instrText>
        </w:r>
        <w:r w:rsidR="007157FF">
          <w:rPr>
            <w:noProof/>
            <w:webHidden/>
          </w:rPr>
        </w:r>
        <w:r w:rsidR="007157FF">
          <w:rPr>
            <w:noProof/>
            <w:webHidden/>
          </w:rPr>
          <w:fldChar w:fldCharType="separate"/>
        </w:r>
        <w:r w:rsidR="002A1C0D">
          <w:rPr>
            <w:noProof/>
            <w:webHidden/>
          </w:rPr>
          <w:t>3</w:t>
        </w:r>
        <w:r w:rsidR="007157FF">
          <w:rPr>
            <w:noProof/>
            <w:webHidden/>
          </w:rPr>
          <w:fldChar w:fldCharType="end"/>
        </w:r>
      </w:hyperlink>
    </w:p>
    <w:p w:rsidR="002A1C0D" w:rsidRDefault="00E63AB7">
      <w:pPr>
        <w:pStyle w:val="Indholdsfortegnelse1"/>
        <w:tabs>
          <w:tab w:val="left" w:pos="1418"/>
        </w:tabs>
        <w:rPr>
          <w:rFonts w:asciiTheme="minorHAnsi" w:eastAsiaTheme="minorEastAsia" w:hAnsiTheme="minorHAnsi" w:cstheme="minorBidi"/>
          <w:bCs w:val="0"/>
          <w:noProof/>
          <w:spacing w:val="0"/>
          <w:sz w:val="22"/>
          <w:szCs w:val="22"/>
        </w:rPr>
      </w:pPr>
      <w:hyperlink w:anchor="_Toc418509590" w:history="1">
        <w:r w:rsidR="002A1C0D" w:rsidRPr="00255733">
          <w:rPr>
            <w:rStyle w:val="Hyperlink"/>
            <w:rFonts w:eastAsia="Times New Roman"/>
            <w:caps/>
            <w:noProof/>
          </w:rPr>
          <w:t>5.</w:t>
        </w:r>
        <w:r w:rsidR="002A1C0D">
          <w:rPr>
            <w:rFonts w:asciiTheme="minorHAnsi" w:eastAsiaTheme="minorEastAsia" w:hAnsiTheme="minorHAnsi" w:cstheme="minorBidi"/>
            <w:bCs w:val="0"/>
            <w:noProof/>
            <w:spacing w:val="0"/>
            <w:sz w:val="22"/>
            <w:szCs w:val="22"/>
          </w:rPr>
          <w:tab/>
        </w:r>
        <w:r w:rsidR="002A1C0D" w:rsidRPr="00255733">
          <w:rPr>
            <w:rStyle w:val="Hyperlink"/>
            <w:rFonts w:eastAsia="Times New Roman"/>
            <w:caps/>
            <w:noProof/>
          </w:rPr>
          <w:t>Svartider</w:t>
        </w:r>
        <w:r w:rsidR="002A1C0D">
          <w:rPr>
            <w:noProof/>
            <w:webHidden/>
          </w:rPr>
          <w:tab/>
        </w:r>
        <w:r w:rsidR="007157FF">
          <w:rPr>
            <w:noProof/>
            <w:webHidden/>
          </w:rPr>
          <w:fldChar w:fldCharType="begin"/>
        </w:r>
        <w:r w:rsidR="002A1C0D">
          <w:rPr>
            <w:noProof/>
            <w:webHidden/>
          </w:rPr>
          <w:instrText xml:space="preserve"> PAGEREF _Toc418509590 \h </w:instrText>
        </w:r>
        <w:r w:rsidR="007157FF">
          <w:rPr>
            <w:noProof/>
            <w:webHidden/>
          </w:rPr>
        </w:r>
        <w:r w:rsidR="007157FF">
          <w:rPr>
            <w:noProof/>
            <w:webHidden/>
          </w:rPr>
          <w:fldChar w:fldCharType="separate"/>
        </w:r>
        <w:r w:rsidR="002A1C0D">
          <w:rPr>
            <w:noProof/>
            <w:webHidden/>
          </w:rPr>
          <w:t>3</w:t>
        </w:r>
        <w:r w:rsidR="007157FF">
          <w:rPr>
            <w:noProof/>
            <w:webHidden/>
          </w:rPr>
          <w:fldChar w:fldCharType="end"/>
        </w:r>
      </w:hyperlink>
    </w:p>
    <w:p w:rsidR="002A1C0D" w:rsidRDefault="00E63AB7">
      <w:pPr>
        <w:pStyle w:val="Indholdsfortegnelse1"/>
        <w:tabs>
          <w:tab w:val="left" w:pos="1418"/>
        </w:tabs>
        <w:rPr>
          <w:rFonts w:asciiTheme="minorHAnsi" w:eastAsiaTheme="minorEastAsia" w:hAnsiTheme="minorHAnsi" w:cstheme="minorBidi"/>
          <w:bCs w:val="0"/>
          <w:noProof/>
          <w:spacing w:val="0"/>
          <w:sz w:val="22"/>
          <w:szCs w:val="22"/>
        </w:rPr>
      </w:pPr>
      <w:hyperlink w:anchor="_Toc418509591" w:history="1">
        <w:r w:rsidR="002A1C0D" w:rsidRPr="00255733">
          <w:rPr>
            <w:rStyle w:val="Hyperlink"/>
            <w:rFonts w:eastAsia="Times New Roman"/>
            <w:caps/>
            <w:noProof/>
          </w:rPr>
          <w:t>6.</w:t>
        </w:r>
        <w:r w:rsidR="002A1C0D">
          <w:rPr>
            <w:rFonts w:asciiTheme="minorHAnsi" w:eastAsiaTheme="minorEastAsia" w:hAnsiTheme="minorHAnsi" w:cstheme="minorBidi"/>
            <w:bCs w:val="0"/>
            <w:noProof/>
            <w:spacing w:val="0"/>
            <w:sz w:val="22"/>
            <w:szCs w:val="22"/>
          </w:rPr>
          <w:tab/>
        </w:r>
        <w:r w:rsidR="002A1C0D" w:rsidRPr="00255733">
          <w:rPr>
            <w:rStyle w:val="Hyperlink"/>
            <w:rFonts w:eastAsia="Times New Roman"/>
            <w:caps/>
            <w:noProof/>
          </w:rPr>
          <w:t>Måling og beregningsmetoder</w:t>
        </w:r>
        <w:r w:rsidR="002A1C0D">
          <w:rPr>
            <w:noProof/>
            <w:webHidden/>
          </w:rPr>
          <w:tab/>
        </w:r>
        <w:r w:rsidR="007157FF">
          <w:rPr>
            <w:noProof/>
            <w:webHidden/>
          </w:rPr>
          <w:fldChar w:fldCharType="begin"/>
        </w:r>
        <w:r w:rsidR="002A1C0D">
          <w:rPr>
            <w:noProof/>
            <w:webHidden/>
          </w:rPr>
          <w:instrText xml:space="preserve"> PAGEREF _Toc418509591 \h </w:instrText>
        </w:r>
        <w:r w:rsidR="007157FF">
          <w:rPr>
            <w:noProof/>
            <w:webHidden/>
          </w:rPr>
        </w:r>
        <w:r w:rsidR="007157FF">
          <w:rPr>
            <w:noProof/>
            <w:webHidden/>
          </w:rPr>
          <w:fldChar w:fldCharType="separate"/>
        </w:r>
        <w:r w:rsidR="002A1C0D">
          <w:rPr>
            <w:noProof/>
            <w:webHidden/>
          </w:rPr>
          <w:t>4</w:t>
        </w:r>
        <w:r w:rsidR="007157FF">
          <w:rPr>
            <w:noProof/>
            <w:webHidden/>
          </w:rPr>
          <w:fldChar w:fldCharType="end"/>
        </w:r>
      </w:hyperlink>
    </w:p>
    <w:p w:rsidR="002A1C0D" w:rsidRDefault="00E63AB7">
      <w:pPr>
        <w:pStyle w:val="Indholdsfortegnelse1"/>
        <w:tabs>
          <w:tab w:val="left" w:pos="1418"/>
        </w:tabs>
        <w:rPr>
          <w:rFonts w:asciiTheme="minorHAnsi" w:eastAsiaTheme="minorEastAsia" w:hAnsiTheme="minorHAnsi" w:cstheme="minorBidi"/>
          <w:bCs w:val="0"/>
          <w:noProof/>
          <w:spacing w:val="0"/>
          <w:sz w:val="22"/>
          <w:szCs w:val="22"/>
        </w:rPr>
      </w:pPr>
      <w:hyperlink w:anchor="_Toc418509592" w:history="1">
        <w:r w:rsidR="002A1C0D" w:rsidRPr="00255733">
          <w:rPr>
            <w:rStyle w:val="Hyperlink"/>
            <w:rFonts w:eastAsia="Times New Roman"/>
            <w:caps/>
            <w:noProof/>
          </w:rPr>
          <w:t>7.</w:t>
        </w:r>
        <w:r w:rsidR="002A1C0D">
          <w:rPr>
            <w:rFonts w:asciiTheme="minorHAnsi" w:eastAsiaTheme="minorEastAsia" w:hAnsiTheme="minorHAnsi" w:cstheme="minorBidi"/>
            <w:bCs w:val="0"/>
            <w:noProof/>
            <w:spacing w:val="0"/>
            <w:sz w:val="22"/>
            <w:szCs w:val="22"/>
          </w:rPr>
          <w:tab/>
        </w:r>
        <w:r w:rsidR="002A1C0D" w:rsidRPr="00255733">
          <w:rPr>
            <w:rStyle w:val="Hyperlink"/>
            <w:rFonts w:eastAsia="Times New Roman"/>
            <w:caps/>
            <w:noProof/>
          </w:rPr>
          <w:t>Reduktion</w:t>
        </w:r>
        <w:r w:rsidR="002A1C0D">
          <w:rPr>
            <w:noProof/>
            <w:webHidden/>
          </w:rPr>
          <w:tab/>
        </w:r>
        <w:r w:rsidR="007157FF">
          <w:rPr>
            <w:noProof/>
            <w:webHidden/>
          </w:rPr>
          <w:fldChar w:fldCharType="begin"/>
        </w:r>
        <w:r w:rsidR="002A1C0D">
          <w:rPr>
            <w:noProof/>
            <w:webHidden/>
          </w:rPr>
          <w:instrText xml:space="preserve"> PAGEREF _Toc418509592 \h </w:instrText>
        </w:r>
        <w:r w:rsidR="007157FF">
          <w:rPr>
            <w:noProof/>
            <w:webHidden/>
          </w:rPr>
        </w:r>
        <w:r w:rsidR="007157FF">
          <w:rPr>
            <w:noProof/>
            <w:webHidden/>
          </w:rPr>
          <w:fldChar w:fldCharType="separate"/>
        </w:r>
        <w:r w:rsidR="002A1C0D">
          <w:rPr>
            <w:noProof/>
            <w:webHidden/>
          </w:rPr>
          <w:t>5</w:t>
        </w:r>
        <w:r w:rsidR="007157FF">
          <w:rPr>
            <w:noProof/>
            <w:webHidden/>
          </w:rPr>
          <w:fldChar w:fldCharType="end"/>
        </w:r>
      </w:hyperlink>
    </w:p>
    <w:p w:rsidR="00A838D1" w:rsidRPr="008F5997" w:rsidRDefault="007157FF" w:rsidP="00FC5BD4">
      <w:pPr>
        <w:pStyle w:val="Indholdsfortegnelse1"/>
        <w:spacing w:line="360" w:lineRule="auto"/>
        <w:jc w:val="both"/>
        <w:rPr>
          <w:caps/>
        </w:rPr>
      </w:pPr>
      <w:r w:rsidRPr="008F5997">
        <w:rPr>
          <w:caps/>
        </w:rPr>
        <w:fldChar w:fldCharType="end"/>
      </w:r>
    </w:p>
    <w:p w:rsidR="00C27F34" w:rsidRPr="000C4878" w:rsidRDefault="00C27F34" w:rsidP="00FC5BD4">
      <w:pPr>
        <w:spacing w:line="360" w:lineRule="auto"/>
      </w:pPr>
    </w:p>
    <w:p w:rsidR="00330456" w:rsidRPr="006E4C17" w:rsidRDefault="00C27F34" w:rsidP="00FC5BD4">
      <w:pPr>
        <w:pStyle w:val="Overskrift1"/>
        <w:spacing w:before="360" w:line="360" w:lineRule="auto"/>
        <w:rPr>
          <w:rFonts w:eastAsia="Times New Roman"/>
          <w:caps/>
          <w:sz w:val="22"/>
        </w:rPr>
      </w:pPr>
      <w:r w:rsidRPr="000C4878">
        <w:br w:type="page"/>
      </w:r>
      <w:bookmarkStart w:id="1" w:name="_Toc418509586"/>
      <w:r w:rsidR="006865E3" w:rsidRPr="006E4C17">
        <w:rPr>
          <w:rFonts w:eastAsia="Times New Roman"/>
          <w:caps/>
          <w:sz w:val="22"/>
        </w:rPr>
        <w:lastRenderedPageBreak/>
        <w:t>Bilagsvejledning</w:t>
      </w:r>
      <w:bookmarkEnd w:id="1"/>
    </w:p>
    <w:p w:rsidR="00312CC1" w:rsidRPr="0014230E" w:rsidRDefault="00312CC1" w:rsidP="00312CC1">
      <w:pPr>
        <w:spacing w:after="120"/>
        <w:rPr>
          <w:i/>
          <w:szCs w:val="19"/>
        </w:rPr>
      </w:pPr>
      <w:r w:rsidRPr="0014230E">
        <w:rPr>
          <w:i/>
          <w:szCs w:val="19"/>
          <w:highlight w:val="lightGray"/>
        </w:rPr>
        <w:t>[BILAGET SKAL UDFYLDES / SUPPLERES AF LEVERANDØREN]</w:t>
      </w:r>
    </w:p>
    <w:p w:rsidR="003E04E1" w:rsidRPr="006207B8" w:rsidRDefault="003E04E1" w:rsidP="008F5997">
      <w:pPr>
        <w:spacing w:before="120" w:after="120"/>
      </w:pPr>
      <w:r>
        <w:t>Dette bilag beskriver i overensstemmelse med kontraktens punkt 14 og 15.1 de servicemål, der skal være opfyldt</w:t>
      </w:r>
      <w:r w:rsidR="009346AB">
        <w:t xml:space="preserve"> og garanteret</w:t>
      </w:r>
      <w:r>
        <w:t xml:space="preserve"> fra etableringsdagen samt i forbindelse med driftsprøven medmindre andet fremgår af bilaget. </w:t>
      </w:r>
    </w:p>
    <w:p w:rsidR="00A444D6" w:rsidRDefault="00A444D6" w:rsidP="008F5997">
      <w:pPr>
        <w:pStyle w:val="Indrykketbrdtekst"/>
        <w:spacing w:before="120" w:after="120"/>
      </w:pPr>
    </w:p>
    <w:p w:rsidR="006865E3" w:rsidRDefault="006865E3" w:rsidP="00FC5BD4">
      <w:pPr>
        <w:pStyle w:val="Indrykketbrdtekst"/>
        <w:spacing w:line="360" w:lineRule="auto"/>
      </w:pPr>
    </w:p>
    <w:p w:rsidR="006865E3" w:rsidRDefault="006865E3" w:rsidP="00FC5BD4">
      <w:pPr>
        <w:pStyle w:val="Indrykketbrdtekst"/>
        <w:spacing w:line="360" w:lineRule="auto"/>
      </w:pPr>
    </w:p>
    <w:p w:rsidR="006865E3" w:rsidRDefault="006865E3" w:rsidP="00FC5BD4">
      <w:pPr>
        <w:pStyle w:val="Indrykketbrdtekst"/>
        <w:spacing w:line="360" w:lineRule="auto"/>
      </w:pPr>
    </w:p>
    <w:p w:rsidR="006865E3" w:rsidRDefault="006865E3" w:rsidP="00FC5BD4">
      <w:pPr>
        <w:pStyle w:val="Indrykketbrdtekst"/>
        <w:spacing w:line="360" w:lineRule="auto"/>
      </w:pPr>
    </w:p>
    <w:p w:rsidR="006865E3" w:rsidRDefault="006865E3" w:rsidP="00FC5BD4">
      <w:pPr>
        <w:pStyle w:val="Indrykketbrdtekst"/>
        <w:spacing w:line="360" w:lineRule="auto"/>
      </w:pPr>
    </w:p>
    <w:p w:rsidR="006865E3" w:rsidRDefault="006865E3" w:rsidP="00FC5BD4">
      <w:pPr>
        <w:pStyle w:val="Indrykketbrdtekst"/>
        <w:spacing w:line="360" w:lineRule="auto"/>
      </w:pPr>
    </w:p>
    <w:p w:rsidR="006865E3" w:rsidRDefault="006865E3" w:rsidP="00FC5BD4">
      <w:pPr>
        <w:pStyle w:val="Indrykketbrdtekst"/>
        <w:spacing w:line="360" w:lineRule="auto"/>
      </w:pPr>
    </w:p>
    <w:p w:rsidR="006865E3" w:rsidRDefault="006865E3" w:rsidP="00FC5BD4">
      <w:pPr>
        <w:pStyle w:val="Indrykketbrdtekst"/>
        <w:spacing w:line="360" w:lineRule="auto"/>
      </w:pPr>
    </w:p>
    <w:p w:rsidR="006865E3" w:rsidRDefault="006865E3" w:rsidP="00FC5BD4">
      <w:pPr>
        <w:pStyle w:val="Indrykketbrdtekst"/>
        <w:spacing w:line="360" w:lineRule="auto"/>
      </w:pPr>
    </w:p>
    <w:p w:rsidR="006865E3" w:rsidRDefault="006865E3" w:rsidP="00FC5BD4">
      <w:pPr>
        <w:pStyle w:val="Indrykketbrdtekst"/>
        <w:spacing w:line="360" w:lineRule="auto"/>
      </w:pPr>
    </w:p>
    <w:p w:rsidR="006865E3" w:rsidRDefault="006865E3" w:rsidP="00FC5BD4">
      <w:pPr>
        <w:pStyle w:val="Indrykketbrdtekst"/>
        <w:spacing w:line="360" w:lineRule="auto"/>
      </w:pPr>
    </w:p>
    <w:p w:rsidR="006865E3" w:rsidRDefault="006865E3" w:rsidP="00FC5BD4">
      <w:pPr>
        <w:pStyle w:val="Indrykketbrdtekst"/>
        <w:spacing w:line="360" w:lineRule="auto"/>
      </w:pPr>
    </w:p>
    <w:p w:rsidR="006865E3" w:rsidRDefault="006865E3" w:rsidP="00FC5BD4">
      <w:pPr>
        <w:pStyle w:val="Indrykketbrdtekst"/>
        <w:spacing w:line="360" w:lineRule="auto"/>
      </w:pPr>
    </w:p>
    <w:p w:rsidR="006865E3" w:rsidRDefault="006865E3" w:rsidP="00FC5BD4">
      <w:pPr>
        <w:pStyle w:val="Indrykketbrdtekst"/>
        <w:spacing w:line="360" w:lineRule="auto"/>
      </w:pPr>
    </w:p>
    <w:p w:rsidR="006207B8" w:rsidRDefault="006207B8" w:rsidP="006207B8"/>
    <w:p w:rsidR="006865E3" w:rsidRDefault="006865E3" w:rsidP="00FC5BD4">
      <w:pPr>
        <w:pStyle w:val="Indrykketbrdtekst"/>
        <w:spacing w:line="360" w:lineRule="auto"/>
      </w:pPr>
    </w:p>
    <w:p w:rsidR="00EE746E" w:rsidRDefault="00EE746E">
      <w:pPr>
        <w:tabs>
          <w:tab w:val="clear" w:pos="1134"/>
          <w:tab w:val="clear" w:pos="2268"/>
          <w:tab w:val="clear" w:pos="3402"/>
          <w:tab w:val="clear" w:pos="4536"/>
          <w:tab w:val="clear" w:pos="5670"/>
        </w:tabs>
        <w:spacing w:line="240" w:lineRule="auto"/>
        <w:jc w:val="left"/>
        <w:rPr>
          <w:b/>
          <w:kern w:val="28"/>
          <w:sz w:val="22"/>
          <w:szCs w:val="22"/>
        </w:rPr>
      </w:pPr>
      <w:bookmarkStart w:id="2" w:name="_Toc116713193"/>
      <w:bookmarkStart w:id="3" w:name="_Toc117307047"/>
      <w:bookmarkStart w:id="4" w:name="_Toc149736048"/>
      <w:bookmarkStart w:id="5" w:name="_Toc149736887"/>
      <w:bookmarkStart w:id="6" w:name="_Toc9397369"/>
      <w:r>
        <w:rPr>
          <w:sz w:val="22"/>
          <w:szCs w:val="22"/>
        </w:rPr>
        <w:br w:type="page"/>
      </w:r>
    </w:p>
    <w:p w:rsidR="00E657EF" w:rsidRPr="00C25BEA" w:rsidRDefault="00895A1D" w:rsidP="00C25BEA">
      <w:pPr>
        <w:pStyle w:val="Overskrift1"/>
        <w:spacing w:beforeLines="0" w:line="360" w:lineRule="auto"/>
        <w:rPr>
          <w:rFonts w:eastAsia="Times New Roman"/>
          <w:caps/>
          <w:sz w:val="22"/>
          <w:szCs w:val="22"/>
        </w:rPr>
      </w:pPr>
      <w:bookmarkStart w:id="7" w:name="_Toc418509587"/>
      <w:bookmarkEnd w:id="2"/>
      <w:bookmarkEnd w:id="3"/>
      <w:bookmarkEnd w:id="4"/>
      <w:bookmarkEnd w:id="5"/>
      <w:r w:rsidRPr="00C25BEA">
        <w:rPr>
          <w:rFonts w:eastAsia="Times New Roman"/>
          <w:caps/>
          <w:sz w:val="22"/>
          <w:szCs w:val="22"/>
        </w:rPr>
        <w:lastRenderedPageBreak/>
        <w:t>Forudsætninger for servicemål</w:t>
      </w:r>
      <w:bookmarkEnd w:id="7"/>
    </w:p>
    <w:bookmarkEnd w:id="6"/>
    <w:p w:rsidR="00312CC1" w:rsidRDefault="00312CC1" w:rsidP="00312CC1">
      <w:pPr>
        <w:spacing w:after="120"/>
        <w:rPr>
          <w:i/>
          <w:szCs w:val="19"/>
        </w:rPr>
      </w:pPr>
      <w:r w:rsidRPr="0014230E">
        <w:rPr>
          <w:i/>
          <w:szCs w:val="19"/>
          <w:highlight w:val="lightGray"/>
        </w:rPr>
        <w:t>[</w:t>
      </w:r>
      <w:r>
        <w:rPr>
          <w:i/>
          <w:szCs w:val="19"/>
          <w:highlight w:val="lightGray"/>
        </w:rPr>
        <w:t>PUNKTET</w:t>
      </w:r>
      <w:r w:rsidRPr="0014230E">
        <w:rPr>
          <w:i/>
          <w:szCs w:val="19"/>
          <w:highlight w:val="lightGray"/>
        </w:rPr>
        <w:t xml:space="preserve"> </w:t>
      </w:r>
      <w:r>
        <w:rPr>
          <w:i/>
          <w:szCs w:val="19"/>
          <w:highlight w:val="lightGray"/>
        </w:rPr>
        <w:t>KAN</w:t>
      </w:r>
      <w:r w:rsidRPr="0014230E">
        <w:rPr>
          <w:i/>
          <w:szCs w:val="19"/>
          <w:highlight w:val="lightGray"/>
        </w:rPr>
        <w:t xml:space="preserve"> UDFYLDES / SUPPLERES AF LEVERANDØREN]</w:t>
      </w:r>
    </w:p>
    <w:p w:rsidR="00264785" w:rsidRPr="0014230E" w:rsidRDefault="00264785" w:rsidP="00312CC1">
      <w:pPr>
        <w:spacing w:after="120"/>
        <w:rPr>
          <w:i/>
          <w:szCs w:val="19"/>
        </w:rPr>
      </w:pPr>
    </w:p>
    <w:p w:rsidR="006865E3" w:rsidRPr="00C25BEA" w:rsidRDefault="00895A1D" w:rsidP="00C25BEA">
      <w:pPr>
        <w:pStyle w:val="Overskrift1"/>
        <w:spacing w:beforeLines="0" w:line="360" w:lineRule="auto"/>
        <w:rPr>
          <w:rFonts w:eastAsia="Times New Roman"/>
          <w:caps/>
          <w:sz w:val="22"/>
          <w:szCs w:val="22"/>
        </w:rPr>
      </w:pPr>
      <w:bookmarkStart w:id="8" w:name="_Toc418509588"/>
      <w:r w:rsidRPr="00C25BEA">
        <w:rPr>
          <w:rFonts w:eastAsia="Times New Roman"/>
          <w:caps/>
          <w:sz w:val="22"/>
          <w:szCs w:val="22"/>
        </w:rPr>
        <w:t>Driftseffektivitet</w:t>
      </w:r>
      <w:bookmarkEnd w:id="8"/>
    </w:p>
    <w:p w:rsidR="00EE746E" w:rsidRDefault="002839AD" w:rsidP="008F5997">
      <w:pPr>
        <w:spacing w:before="120" w:after="120"/>
      </w:pPr>
      <w:r>
        <w:t xml:space="preserve">Servicemålet for driftseffektivitet er </w:t>
      </w:r>
      <w:r w:rsidR="008861A1" w:rsidRPr="008861A1">
        <w:t>95</w:t>
      </w:r>
      <w:r w:rsidR="008861A1">
        <w:t xml:space="preserve"> </w:t>
      </w:r>
      <w:r w:rsidRPr="008861A1">
        <w:t>%</w:t>
      </w:r>
      <w:r w:rsidR="00EE746E">
        <w:t xml:space="preserve"> for </w:t>
      </w:r>
      <w:r w:rsidR="00EE746E" w:rsidRPr="00747129">
        <w:t>garanti- og vedligeholdelsesperioden</w:t>
      </w:r>
    </w:p>
    <w:p w:rsidR="00EE746E" w:rsidRDefault="00EE746E" w:rsidP="008F5997">
      <w:pPr>
        <w:spacing w:before="120" w:after="120"/>
      </w:pPr>
      <w:r>
        <w:t xml:space="preserve">Servicemålet for driftseffektivitet er </w:t>
      </w:r>
      <w:r w:rsidR="008861A1" w:rsidRPr="008861A1">
        <w:t>95</w:t>
      </w:r>
      <w:r w:rsidR="008861A1">
        <w:t xml:space="preserve"> </w:t>
      </w:r>
      <w:r w:rsidRPr="008861A1">
        <w:t>%</w:t>
      </w:r>
      <w:r>
        <w:t xml:space="preserve"> for driftsprøveperioden.</w:t>
      </w:r>
    </w:p>
    <w:p w:rsidR="00264785" w:rsidRDefault="00264785" w:rsidP="008F5997">
      <w:pPr>
        <w:spacing w:before="120" w:after="120"/>
      </w:pPr>
    </w:p>
    <w:p w:rsidR="00A444D6" w:rsidRPr="00C25BEA" w:rsidRDefault="00895A1D" w:rsidP="00C25BEA">
      <w:pPr>
        <w:pStyle w:val="Overskrift1"/>
        <w:spacing w:beforeLines="0" w:line="360" w:lineRule="auto"/>
        <w:rPr>
          <w:rFonts w:eastAsia="Times New Roman"/>
          <w:caps/>
          <w:sz w:val="22"/>
          <w:szCs w:val="22"/>
        </w:rPr>
      </w:pPr>
      <w:bookmarkStart w:id="9" w:name="_Toc418509589"/>
      <w:r w:rsidRPr="00C25BEA">
        <w:rPr>
          <w:rFonts w:eastAsia="Times New Roman"/>
          <w:caps/>
          <w:sz w:val="22"/>
          <w:szCs w:val="22"/>
        </w:rPr>
        <w:t>Reaktionstider</w:t>
      </w:r>
      <w:bookmarkEnd w:id="9"/>
    </w:p>
    <w:p w:rsidR="008165DA" w:rsidRPr="008973B0" w:rsidRDefault="008165DA" w:rsidP="008165DA">
      <w:r w:rsidRPr="008973B0">
        <w:t xml:space="preserve">De </w:t>
      </w:r>
      <w:r w:rsidR="003E04E1">
        <w:t>garanterede</w:t>
      </w:r>
      <w:r w:rsidRPr="008973B0">
        <w:t xml:space="preserve"> reaktionstider fremgår af </w:t>
      </w:r>
      <w:r w:rsidRPr="008B4F71">
        <w:t>bilag 7</w:t>
      </w:r>
      <w:r w:rsidRPr="008973B0">
        <w:t>.</w:t>
      </w:r>
    </w:p>
    <w:p w:rsidR="008165DA" w:rsidRPr="008973B0" w:rsidRDefault="008165DA" w:rsidP="008165DA"/>
    <w:p w:rsidR="008165DA" w:rsidRPr="003E04E1" w:rsidRDefault="008165DA" w:rsidP="003E04E1">
      <w:pPr>
        <w:rPr>
          <w:b/>
        </w:rPr>
      </w:pPr>
      <w:bookmarkStart w:id="10" w:name="_Toc275328742"/>
      <w:r w:rsidRPr="003E04E1">
        <w:rPr>
          <w:b/>
        </w:rPr>
        <w:t>Måling af reaktionstid</w:t>
      </w:r>
      <w:bookmarkEnd w:id="10"/>
    </w:p>
    <w:p w:rsidR="008165DA" w:rsidRDefault="008165DA" w:rsidP="008F5997">
      <w:pPr>
        <w:spacing w:before="120" w:after="120"/>
      </w:pPr>
      <w:r w:rsidRPr="00EF0E2E">
        <w:t>Reaktionstiden angiver den maksimale tid fra kunden gør leverandøren opmærksom på en fejl eller et problem - eller leverandøren selv opdager en fejl eller et problem – og indtil fejlafhjælpn</w:t>
      </w:r>
      <w:r w:rsidR="009E6B9D">
        <w:t>ing er påbegyndt (eller gennemført) af leverandøren, efter leverandørens valg.</w:t>
      </w:r>
      <w:r w:rsidRPr="00EF0E2E">
        <w:t xml:space="preserve"> </w:t>
      </w:r>
    </w:p>
    <w:p w:rsidR="008165DA" w:rsidRDefault="008165DA" w:rsidP="008F5997">
      <w:pPr>
        <w:spacing w:before="120" w:after="120"/>
        <w:rPr>
          <w:bCs/>
        </w:rPr>
      </w:pPr>
      <w:r w:rsidRPr="00EF0E2E">
        <w:rPr>
          <w:bCs/>
        </w:rPr>
        <w:t>Leverandøren skal for hver måned udarbejde en oversigt over reaktionstider, hvoraf det fremgår</w:t>
      </w:r>
      <w:r>
        <w:rPr>
          <w:bCs/>
        </w:rPr>
        <w:t>,</w:t>
      </w:r>
      <w:r w:rsidRPr="00EF0E2E">
        <w:rPr>
          <w:bCs/>
        </w:rPr>
        <w:t xml:space="preserve"> hvor mange gange og hvor meget reaktionstiden er overskredet.</w:t>
      </w:r>
      <w:r w:rsidRPr="00DE7F4C">
        <w:rPr>
          <w:bCs/>
        </w:rPr>
        <w:t xml:space="preserve"> </w:t>
      </w:r>
    </w:p>
    <w:p w:rsidR="00264785" w:rsidRPr="007C0EEF" w:rsidRDefault="00264785" w:rsidP="008F5997">
      <w:pPr>
        <w:spacing w:before="120" w:after="120"/>
        <w:rPr>
          <w:bCs/>
        </w:rPr>
      </w:pPr>
    </w:p>
    <w:p w:rsidR="00A444D6" w:rsidRPr="00C25BEA" w:rsidRDefault="00895A1D" w:rsidP="00C25BEA">
      <w:pPr>
        <w:pStyle w:val="Overskrift1"/>
        <w:spacing w:beforeLines="0" w:line="360" w:lineRule="auto"/>
        <w:rPr>
          <w:rFonts w:eastAsia="Times New Roman"/>
          <w:caps/>
          <w:sz w:val="22"/>
          <w:szCs w:val="22"/>
        </w:rPr>
      </w:pPr>
      <w:bookmarkStart w:id="11" w:name="_Toc418509590"/>
      <w:r w:rsidRPr="00C25BEA">
        <w:rPr>
          <w:rFonts w:eastAsia="Times New Roman"/>
          <w:caps/>
          <w:sz w:val="22"/>
          <w:szCs w:val="22"/>
        </w:rPr>
        <w:t>Svartider</w:t>
      </w:r>
      <w:bookmarkEnd w:id="11"/>
    </w:p>
    <w:p w:rsidR="005956D7" w:rsidRPr="008F5997" w:rsidRDefault="005956D7" w:rsidP="008F5997">
      <w:pPr>
        <w:tabs>
          <w:tab w:val="clear" w:pos="1134"/>
          <w:tab w:val="clear" w:pos="2268"/>
          <w:tab w:val="clear" w:pos="3402"/>
          <w:tab w:val="clear" w:pos="4536"/>
          <w:tab w:val="clear" w:pos="5670"/>
        </w:tabs>
        <w:spacing w:before="120" w:after="120"/>
        <w:rPr>
          <w:rFonts w:eastAsia="Times New Roman"/>
          <w:spacing w:val="0"/>
          <w:szCs w:val="19"/>
        </w:rPr>
      </w:pPr>
      <w:r w:rsidRPr="008F5997">
        <w:rPr>
          <w:rFonts w:eastAsia="Times New Roman"/>
          <w:spacing w:val="0"/>
          <w:szCs w:val="19"/>
        </w:rPr>
        <w:t>Leverandøren garanterer, at svartiderne for hver enkelt af de nedenfor opregnede funktioner vil være mindre</w:t>
      </w:r>
      <w:r w:rsidR="009E6B9D">
        <w:rPr>
          <w:rFonts w:eastAsia="Times New Roman"/>
          <w:spacing w:val="0"/>
          <w:szCs w:val="19"/>
        </w:rPr>
        <w:t xml:space="preserve"> end</w:t>
      </w:r>
      <w:r w:rsidRPr="008F5997">
        <w:rPr>
          <w:rFonts w:eastAsia="Times New Roman"/>
          <w:spacing w:val="0"/>
          <w:szCs w:val="19"/>
        </w:rPr>
        <w:t xml:space="preserve"> eller lig med de anførte maksimale svartider for mindst 95 % af de gennemførte målinger. </w:t>
      </w:r>
    </w:p>
    <w:p w:rsidR="00984FD7" w:rsidRPr="008F5997" w:rsidRDefault="00984FD7" w:rsidP="008F5997">
      <w:pPr>
        <w:spacing w:before="120" w:after="120"/>
        <w:rPr>
          <w:szCs w:val="19"/>
        </w:rPr>
      </w:pPr>
      <w:r w:rsidRPr="008F5997">
        <w:rPr>
          <w:szCs w:val="19"/>
        </w:rPr>
        <w:t xml:space="preserve">Svartider samt opfyldelsesgraden </w:t>
      </w:r>
      <w:r w:rsidR="009E6B9D">
        <w:rPr>
          <w:szCs w:val="19"/>
        </w:rPr>
        <w:t>h</w:t>
      </w:r>
      <w:r w:rsidRPr="008F5997">
        <w:rPr>
          <w:szCs w:val="19"/>
        </w:rPr>
        <w:t>erfor afhænger af kompleksiteten af den pågældende transaktion, jf. nedenfor.</w:t>
      </w:r>
    </w:p>
    <w:p w:rsidR="008861A1" w:rsidRDefault="00984FD7" w:rsidP="00984FD7">
      <w:r>
        <w:tab/>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3402"/>
        <w:gridCol w:w="3402"/>
      </w:tblGrid>
      <w:tr w:rsidR="008861A1" w:rsidRPr="00B840E1" w:rsidTr="00C25BEA">
        <w:tc>
          <w:tcPr>
            <w:tcW w:w="675" w:type="dxa"/>
            <w:tcBorders>
              <w:bottom w:val="single" w:sz="4" w:space="0" w:color="auto"/>
            </w:tcBorders>
            <w:shd w:val="clear" w:color="auto" w:fill="auto"/>
          </w:tcPr>
          <w:p w:rsidR="008861A1" w:rsidRPr="00C25BEA" w:rsidRDefault="008861A1" w:rsidP="008861A1">
            <w:pPr>
              <w:spacing w:before="40" w:after="40" w:line="240" w:lineRule="exact"/>
              <w:rPr>
                <w:b/>
                <w:smallCaps/>
                <w:szCs w:val="19"/>
              </w:rPr>
            </w:pPr>
            <w:r w:rsidRPr="00C25BEA">
              <w:rPr>
                <w:b/>
                <w:smallCaps/>
                <w:szCs w:val="19"/>
              </w:rPr>
              <w:br w:type="page"/>
              <w:t>Nr.</w:t>
            </w:r>
          </w:p>
        </w:tc>
        <w:tc>
          <w:tcPr>
            <w:tcW w:w="1418" w:type="dxa"/>
            <w:tcBorders>
              <w:bottom w:val="single" w:sz="4" w:space="0" w:color="auto"/>
            </w:tcBorders>
            <w:shd w:val="clear" w:color="auto" w:fill="auto"/>
          </w:tcPr>
          <w:p w:rsidR="008861A1" w:rsidRPr="00C25BEA" w:rsidRDefault="008861A1" w:rsidP="008861A1">
            <w:pPr>
              <w:spacing w:before="40" w:after="40" w:line="240" w:lineRule="exact"/>
              <w:rPr>
                <w:b/>
                <w:smallCaps/>
                <w:szCs w:val="19"/>
              </w:rPr>
            </w:pPr>
            <w:r w:rsidRPr="00C25BEA">
              <w:rPr>
                <w:b/>
                <w:smallCaps/>
                <w:szCs w:val="19"/>
              </w:rPr>
              <w:t>Funktion</w:t>
            </w:r>
          </w:p>
        </w:tc>
        <w:tc>
          <w:tcPr>
            <w:tcW w:w="3402" w:type="dxa"/>
            <w:shd w:val="clear" w:color="auto" w:fill="auto"/>
          </w:tcPr>
          <w:p w:rsidR="008861A1" w:rsidRPr="00C25BEA" w:rsidRDefault="008861A1" w:rsidP="008861A1">
            <w:pPr>
              <w:spacing w:before="40" w:after="40" w:line="240" w:lineRule="exact"/>
              <w:jc w:val="center"/>
              <w:rPr>
                <w:b/>
                <w:smallCaps/>
                <w:szCs w:val="19"/>
              </w:rPr>
            </w:pPr>
            <w:r w:rsidRPr="00C25BEA">
              <w:rPr>
                <w:b/>
                <w:smallCaps/>
                <w:szCs w:val="19"/>
              </w:rPr>
              <w:t>Beskrivelse/forudsætninger</w:t>
            </w:r>
          </w:p>
        </w:tc>
        <w:tc>
          <w:tcPr>
            <w:tcW w:w="3402" w:type="dxa"/>
            <w:shd w:val="clear" w:color="auto" w:fill="auto"/>
          </w:tcPr>
          <w:p w:rsidR="008861A1" w:rsidRPr="00C25BEA" w:rsidRDefault="008861A1" w:rsidP="008861A1">
            <w:pPr>
              <w:spacing w:before="40" w:after="40" w:line="240" w:lineRule="exact"/>
              <w:jc w:val="center"/>
              <w:rPr>
                <w:b/>
                <w:smallCaps/>
                <w:szCs w:val="19"/>
              </w:rPr>
            </w:pPr>
            <w:r w:rsidRPr="00C25BEA">
              <w:rPr>
                <w:b/>
                <w:smallCaps/>
                <w:szCs w:val="19"/>
              </w:rPr>
              <w:t>Svartidsgaranti (i sek.)</w:t>
            </w:r>
          </w:p>
        </w:tc>
      </w:tr>
      <w:tr w:rsidR="008861A1" w:rsidRPr="00B840E1" w:rsidTr="00C25BEA">
        <w:tc>
          <w:tcPr>
            <w:tcW w:w="675" w:type="dxa"/>
            <w:shd w:val="clear" w:color="auto" w:fill="auto"/>
            <w:vAlign w:val="center"/>
          </w:tcPr>
          <w:p w:rsidR="008861A1" w:rsidRPr="008F5997" w:rsidRDefault="00B03C22" w:rsidP="00C25BEA">
            <w:pPr>
              <w:tabs>
                <w:tab w:val="clear" w:pos="1134"/>
                <w:tab w:val="clear" w:pos="2268"/>
                <w:tab w:val="clear" w:pos="3402"/>
                <w:tab w:val="clear" w:pos="4536"/>
                <w:tab w:val="clear" w:pos="5670"/>
              </w:tabs>
              <w:spacing w:before="120" w:after="120" w:line="240" w:lineRule="auto"/>
              <w:jc w:val="center"/>
              <w:rPr>
                <w:szCs w:val="19"/>
              </w:rPr>
            </w:pPr>
            <w:r>
              <w:rPr>
                <w:szCs w:val="19"/>
              </w:rPr>
              <w:t>1</w:t>
            </w:r>
          </w:p>
        </w:tc>
        <w:tc>
          <w:tcPr>
            <w:tcW w:w="1418" w:type="dxa"/>
            <w:shd w:val="clear" w:color="auto" w:fill="auto"/>
            <w:vAlign w:val="center"/>
          </w:tcPr>
          <w:p w:rsidR="008861A1" w:rsidRPr="008F5997" w:rsidRDefault="008861A1" w:rsidP="00B03C22">
            <w:pPr>
              <w:spacing w:before="120" w:after="120" w:line="240" w:lineRule="auto"/>
              <w:jc w:val="center"/>
              <w:rPr>
                <w:szCs w:val="19"/>
              </w:rPr>
            </w:pPr>
            <w:r w:rsidRPr="008F5997">
              <w:rPr>
                <w:szCs w:val="19"/>
              </w:rPr>
              <w:t>Simpel</w:t>
            </w:r>
          </w:p>
        </w:tc>
        <w:tc>
          <w:tcPr>
            <w:tcW w:w="3402" w:type="dxa"/>
          </w:tcPr>
          <w:p w:rsidR="008861A1" w:rsidRPr="00746347" w:rsidRDefault="008861A1" w:rsidP="00B03C22">
            <w:pPr>
              <w:spacing w:before="120" w:after="120" w:line="240" w:lineRule="auto"/>
              <w:jc w:val="left"/>
              <w:rPr>
                <w:i/>
                <w:caps/>
                <w:szCs w:val="19"/>
                <w:highlight w:val="lightGray"/>
              </w:rPr>
            </w:pPr>
            <w:r w:rsidRPr="00746347">
              <w:rPr>
                <w:i/>
                <w:caps/>
                <w:szCs w:val="19"/>
                <w:highlight w:val="lightGray"/>
              </w:rPr>
              <w:t>[Udfyldes</w:t>
            </w:r>
            <w:r w:rsidR="003A7111" w:rsidRPr="00746347">
              <w:rPr>
                <w:i/>
                <w:caps/>
                <w:szCs w:val="19"/>
                <w:highlight w:val="lightGray"/>
              </w:rPr>
              <w:t xml:space="preserve"> af leverandøren</w:t>
            </w:r>
            <w:r w:rsidRPr="00746347">
              <w:rPr>
                <w:i/>
                <w:caps/>
                <w:szCs w:val="19"/>
                <w:highlight w:val="lightGray"/>
              </w:rPr>
              <w:t>]</w:t>
            </w:r>
          </w:p>
        </w:tc>
        <w:tc>
          <w:tcPr>
            <w:tcW w:w="3402" w:type="dxa"/>
          </w:tcPr>
          <w:p w:rsidR="008861A1" w:rsidRPr="00D7531F" w:rsidRDefault="00746347" w:rsidP="00B03C22">
            <w:pPr>
              <w:spacing w:before="120" w:after="120" w:line="240" w:lineRule="auto"/>
              <w:jc w:val="left"/>
              <w:rPr>
                <w:i/>
                <w:szCs w:val="19"/>
                <w:highlight w:val="lightGray"/>
              </w:rPr>
            </w:pPr>
            <w:r w:rsidRPr="00746347">
              <w:rPr>
                <w:i/>
                <w:caps/>
                <w:szCs w:val="19"/>
                <w:highlight w:val="lightGray"/>
              </w:rPr>
              <w:t>[Udfyldes af leverandøren]</w:t>
            </w:r>
          </w:p>
        </w:tc>
      </w:tr>
      <w:tr w:rsidR="008861A1" w:rsidRPr="00B840E1" w:rsidTr="00C25BEA">
        <w:tc>
          <w:tcPr>
            <w:tcW w:w="675" w:type="dxa"/>
            <w:shd w:val="clear" w:color="auto" w:fill="auto"/>
            <w:vAlign w:val="center"/>
          </w:tcPr>
          <w:p w:rsidR="008861A1" w:rsidRPr="008F5997" w:rsidRDefault="00B03C22" w:rsidP="00C25BEA">
            <w:pPr>
              <w:tabs>
                <w:tab w:val="clear" w:pos="1134"/>
                <w:tab w:val="clear" w:pos="2268"/>
                <w:tab w:val="clear" w:pos="3402"/>
                <w:tab w:val="clear" w:pos="4536"/>
                <w:tab w:val="clear" w:pos="5670"/>
              </w:tabs>
              <w:spacing w:before="120" w:after="120" w:line="240" w:lineRule="auto"/>
              <w:jc w:val="center"/>
              <w:rPr>
                <w:szCs w:val="19"/>
              </w:rPr>
            </w:pPr>
            <w:r>
              <w:rPr>
                <w:szCs w:val="19"/>
              </w:rPr>
              <w:t>2</w:t>
            </w:r>
          </w:p>
        </w:tc>
        <w:tc>
          <w:tcPr>
            <w:tcW w:w="1418" w:type="dxa"/>
            <w:shd w:val="clear" w:color="auto" w:fill="auto"/>
            <w:vAlign w:val="center"/>
          </w:tcPr>
          <w:p w:rsidR="008861A1" w:rsidRPr="008F5997" w:rsidRDefault="008861A1" w:rsidP="00B03C22">
            <w:pPr>
              <w:spacing w:before="120" w:after="120" w:line="240" w:lineRule="auto"/>
              <w:jc w:val="center"/>
              <w:rPr>
                <w:szCs w:val="19"/>
              </w:rPr>
            </w:pPr>
            <w:r w:rsidRPr="008F5997">
              <w:rPr>
                <w:szCs w:val="19"/>
              </w:rPr>
              <w:t>Middel</w:t>
            </w:r>
          </w:p>
        </w:tc>
        <w:tc>
          <w:tcPr>
            <w:tcW w:w="3402" w:type="dxa"/>
          </w:tcPr>
          <w:p w:rsidR="008861A1" w:rsidRPr="00D7531F" w:rsidRDefault="00746347" w:rsidP="00B03C22">
            <w:pPr>
              <w:spacing w:before="120" w:after="120" w:line="240" w:lineRule="auto"/>
              <w:jc w:val="left"/>
              <w:rPr>
                <w:i/>
                <w:szCs w:val="19"/>
                <w:highlight w:val="lightGray"/>
              </w:rPr>
            </w:pPr>
            <w:r w:rsidRPr="00746347">
              <w:rPr>
                <w:i/>
                <w:caps/>
                <w:szCs w:val="19"/>
                <w:highlight w:val="lightGray"/>
              </w:rPr>
              <w:t>[Udfyldes af leverandøren]</w:t>
            </w:r>
          </w:p>
        </w:tc>
        <w:tc>
          <w:tcPr>
            <w:tcW w:w="3402" w:type="dxa"/>
          </w:tcPr>
          <w:p w:rsidR="008861A1" w:rsidRPr="00D7531F" w:rsidRDefault="00746347" w:rsidP="00B03C22">
            <w:pPr>
              <w:spacing w:before="120" w:after="120" w:line="240" w:lineRule="auto"/>
              <w:jc w:val="left"/>
              <w:rPr>
                <w:i/>
                <w:szCs w:val="19"/>
                <w:highlight w:val="lightGray"/>
              </w:rPr>
            </w:pPr>
            <w:r w:rsidRPr="00746347">
              <w:rPr>
                <w:i/>
                <w:caps/>
                <w:szCs w:val="19"/>
                <w:highlight w:val="lightGray"/>
              </w:rPr>
              <w:t>[Udfyldes af leverandøren]</w:t>
            </w:r>
          </w:p>
        </w:tc>
      </w:tr>
      <w:tr w:rsidR="008861A1" w:rsidRPr="00B840E1" w:rsidTr="00C25BEA">
        <w:tc>
          <w:tcPr>
            <w:tcW w:w="675" w:type="dxa"/>
            <w:shd w:val="clear" w:color="auto" w:fill="auto"/>
            <w:vAlign w:val="center"/>
          </w:tcPr>
          <w:p w:rsidR="008861A1" w:rsidRPr="008F5997" w:rsidRDefault="00B03C22" w:rsidP="00C25BEA">
            <w:pPr>
              <w:tabs>
                <w:tab w:val="clear" w:pos="1134"/>
                <w:tab w:val="clear" w:pos="2268"/>
                <w:tab w:val="clear" w:pos="3402"/>
                <w:tab w:val="clear" w:pos="4536"/>
                <w:tab w:val="clear" w:pos="5670"/>
              </w:tabs>
              <w:spacing w:before="120" w:after="120" w:line="240" w:lineRule="auto"/>
              <w:jc w:val="center"/>
              <w:rPr>
                <w:szCs w:val="19"/>
              </w:rPr>
            </w:pPr>
            <w:r>
              <w:rPr>
                <w:szCs w:val="19"/>
              </w:rPr>
              <w:t>3</w:t>
            </w:r>
          </w:p>
        </w:tc>
        <w:tc>
          <w:tcPr>
            <w:tcW w:w="1418" w:type="dxa"/>
            <w:shd w:val="clear" w:color="auto" w:fill="auto"/>
            <w:vAlign w:val="center"/>
          </w:tcPr>
          <w:p w:rsidR="008861A1" w:rsidRPr="008F5997" w:rsidRDefault="008861A1" w:rsidP="00B03C22">
            <w:pPr>
              <w:spacing w:before="120" w:after="120" w:line="240" w:lineRule="auto"/>
              <w:jc w:val="center"/>
              <w:rPr>
                <w:szCs w:val="19"/>
              </w:rPr>
            </w:pPr>
            <w:r w:rsidRPr="008F5997">
              <w:rPr>
                <w:szCs w:val="19"/>
              </w:rPr>
              <w:t>Kompleks</w:t>
            </w:r>
          </w:p>
        </w:tc>
        <w:tc>
          <w:tcPr>
            <w:tcW w:w="3402" w:type="dxa"/>
          </w:tcPr>
          <w:p w:rsidR="008861A1" w:rsidRPr="00D7531F" w:rsidRDefault="00746347" w:rsidP="00B03C22">
            <w:pPr>
              <w:spacing w:before="120" w:after="120" w:line="240" w:lineRule="auto"/>
              <w:jc w:val="left"/>
              <w:rPr>
                <w:i/>
                <w:szCs w:val="19"/>
                <w:highlight w:val="lightGray"/>
              </w:rPr>
            </w:pPr>
            <w:r w:rsidRPr="00746347">
              <w:rPr>
                <w:i/>
                <w:caps/>
                <w:szCs w:val="19"/>
                <w:highlight w:val="lightGray"/>
              </w:rPr>
              <w:t>[Udfyldes af leverandøren]</w:t>
            </w:r>
          </w:p>
        </w:tc>
        <w:tc>
          <w:tcPr>
            <w:tcW w:w="3402" w:type="dxa"/>
          </w:tcPr>
          <w:p w:rsidR="008861A1" w:rsidRPr="00D7531F" w:rsidRDefault="00746347" w:rsidP="00B03C22">
            <w:pPr>
              <w:spacing w:before="120" w:after="120" w:line="240" w:lineRule="auto"/>
              <w:jc w:val="left"/>
              <w:rPr>
                <w:i/>
                <w:szCs w:val="19"/>
                <w:highlight w:val="lightGray"/>
              </w:rPr>
            </w:pPr>
            <w:r w:rsidRPr="00746347">
              <w:rPr>
                <w:i/>
                <w:caps/>
                <w:szCs w:val="19"/>
                <w:highlight w:val="lightGray"/>
              </w:rPr>
              <w:t>[Udfyldes af leverandøren]</w:t>
            </w:r>
          </w:p>
        </w:tc>
      </w:tr>
    </w:tbl>
    <w:p w:rsidR="008861A1" w:rsidRDefault="008861A1" w:rsidP="00984FD7"/>
    <w:p w:rsidR="00EE746E" w:rsidRDefault="00EE746E" w:rsidP="00984FD7">
      <w:r>
        <w:t xml:space="preserve">For driftsprøveperioden gælder samme servicemål for svartider </w:t>
      </w:r>
      <w:r w:rsidR="009E6B9D">
        <w:t>og</w:t>
      </w:r>
      <w:r>
        <w:t xml:space="preserve"> opfyldelsesgrad.</w:t>
      </w:r>
    </w:p>
    <w:p w:rsidR="00264785" w:rsidRDefault="00264785" w:rsidP="00984FD7"/>
    <w:p w:rsidR="00C25BEA" w:rsidRDefault="00C25BEA" w:rsidP="00984FD7"/>
    <w:p w:rsidR="002E204D" w:rsidRPr="00C25BEA" w:rsidRDefault="00895A1D" w:rsidP="00C25BEA">
      <w:pPr>
        <w:pStyle w:val="Overskrift1"/>
        <w:spacing w:beforeLines="0" w:line="360" w:lineRule="auto"/>
        <w:rPr>
          <w:rFonts w:eastAsia="Times New Roman"/>
          <w:caps/>
          <w:sz w:val="22"/>
          <w:szCs w:val="22"/>
        </w:rPr>
      </w:pPr>
      <w:bookmarkStart w:id="12" w:name="_Toc418509591"/>
      <w:r w:rsidRPr="00C25BEA">
        <w:rPr>
          <w:rFonts w:eastAsia="Times New Roman"/>
          <w:caps/>
          <w:sz w:val="22"/>
          <w:szCs w:val="22"/>
        </w:rPr>
        <w:t>Måling og beregningsmetoder</w:t>
      </w:r>
      <w:bookmarkEnd w:id="12"/>
    </w:p>
    <w:p w:rsidR="00201C8F" w:rsidRPr="003E04E1" w:rsidRDefault="00201C8F" w:rsidP="003E04E1">
      <w:pPr>
        <w:rPr>
          <w:b/>
        </w:rPr>
      </w:pPr>
      <w:bookmarkStart w:id="13" w:name="_Toc68514206"/>
      <w:r w:rsidRPr="003E04E1">
        <w:rPr>
          <w:b/>
        </w:rPr>
        <w:t>Måling af driftseffektivitet</w:t>
      </w:r>
      <w:bookmarkEnd w:id="13"/>
    </w:p>
    <w:p w:rsidR="00201C8F" w:rsidRDefault="00201C8F" w:rsidP="00D7531F">
      <w:pPr>
        <w:spacing w:before="120" w:after="120"/>
      </w:pPr>
      <w:r>
        <w:t>Driftseffektiviteten måles for systemet som helhed, og driftseffektivitetsprocenten opgøres således:</w:t>
      </w:r>
    </w:p>
    <w:p w:rsidR="0054165D" w:rsidRDefault="00201C8F" w:rsidP="00580EBD">
      <w:pPr>
        <w:jc w:val="center"/>
        <w:rPr>
          <w:sz w:val="28"/>
          <w:vertAlign w:val="subscript"/>
        </w:rPr>
      </w:pPr>
      <w:r>
        <w:rPr>
          <w:u w:val="single"/>
        </w:rPr>
        <w:t xml:space="preserve">Tilgængelig </w:t>
      </w:r>
      <w:r w:rsidRPr="008F5997">
        <w:rPr>
          <w:u w:val="single"/>
        </w:rPr>
        <w:t>driftstid</w:t>
      </w:r>
      <w:r w:rsidRPr="008F5997">
        <w:t xml:space="preserve">  </w:t>
      </w:r>
      <w:r w:rsidRPr="008F5997">
        <w:rPr>
          <w:sz w:val="28"/>
          <w:vertAlign w:val="subscript"/>
        </w:rPr>
        <w:t>x 100</w:t>
      </w:r>
      <w:r>
        <w:rPr>
          <w:sz w:val="28"/>
          <w:vertAlign w:val="subscript"/>
        </w:rPr>
        <w:t xml:space="preserve"> </w:t>
      </w:r>
    </w:p>
    <w:p w:rsidR="00201C8F" w:rsidRDefault="00201C8F" w:rsidP="00580EBD">
      <w:pPr>
        <w:jc w:val="center"/>
        <w:rPr>
          <w:u w:val="single"/>
        </w:rPr>
      </w:pPr>
      <w:r>
        <w:t>Aftalt driftstid</w:t>
      </w:r>
    </w:p>
    <w:p w:rsidR="00201C8F" w:rsidRDefault="00201C8F" w:rsidP="00201C8F"/>
    <w:p w:rsidR="00D7531F" w:rsidRDefault="00201C8F" w:rsidP="00D7531F">
      <w:pPr>
        <w:spacing w:before="120" w:after="120"/>
      </w:pPr>
      <w:r>
        <w:t xml:space="preserve">Ved "tilgængelig driftstid" forstås den aftalte driftstid minus den tid, hvor systemet eller en del af dette ikke kan anvendes til mangelfri driftsafvikling på grund af </w:t>
      </w:r>
      <w:r w:rsidR="00D7531F">
        <w:t xml:space="preserve">fejl og </w:t>
      </w:r>
      <w:r>
        <w:t xml:space="preserve">mangler, jf. </w:t>
      </w:r>
      <w:r w:rsidR="00D7531F">
        <w:t xml:space="preserve">leverandørens prioriteringsmodel som angivet i </w:t>
      </w:r>
      <w:r w:rsidRPr="009E6B9D">
        <w:t>bilag 7</w:t>
      </w:r>
      <w:r>
        <w:t xml:space="preserve">, eller hvor svartidskravene ikke er opfyldet. </w:t>
      </w:r>
    </w:p>
    <w:p w:rsidR="00201C8F" w:rsidRDefault="00201C8F" w:rsidP="00D7531F">
      <w:pPr>
        <w:spacing w:before="120" w:after="120"/>
      </w:pPr>
      <w:r>
        <w:t xml:space="preserve">I tilfælde af at mangelfri driftsafvikling ikke kan opretholdes som følge af en driftshindring, som kunden er ansvarlig for, eksempelvis fejl i kundens eksisterende it-miljø, og udefra kommende forstyrrelser (el-afbrydelse, fejl i offentlige datanet og lignende) fragår dette ikke i den tilgængelige driftstid. Driftsafbrydelser regnes fra det tidspunkt, hvor leverandøren har modtaget fyldestgørende fejlmelding fra kunden, og indtil normal drift er genetableret. </w:t>
      </w:r>
    </w:p>
    <w:p w:rsidR="00201C8F" w:rsidRDefault="00201C8F" w:rsidP="00D7531F">
      <w:pPr>
        <w:spacing w:before="120" w:after="120"/>
      </w:pPr>
      <w:r>
        <w:t xml:space="preserve">Den "aftalte driftstid" defineres som kl. </w:t>
      </w:r>
      <w:r w:rsidR="00E32B72" w:rsidRPr="00E32B72">
        <w:t xml:space="preserve">08:00 </w:t>
      </w:r>
      <w:r w:rsidRPr="00E32B72">
        <w:t xml:space="preserve">til kl. </w:t>
      </w:r>
      <w:r w:rsidR="00E32B72" w:rsidRPr="00E32B72">
        <w:t>17:00</w:t>
      </w:r>
      <w:r>
        <w:t xml:space="preserve"> alle arbejdsdage, uanset at kunden er berettiget til at anvende systemet hele døgnet.</w:t>
      </w:r>
    </w:p>
    <w:p w:rsidR="00201C8F" w:rsidRDefault="00201C8F" w:rsidP="00D7531F">
      <w:pPr>
        <w:spacing w:before="120" w:after="120"/>
      </w:pPr>
      <w:r>
        <w:t>Tid medgået til eventuel forebyggende vedligeholdelse indregnes hverken i tilgængelig eller aftalt driftstid. Såfremt leverandøren anvender mere tid til forebyggende vedligeholdelse end aftalt, fragår den for meget anvendte tid dog i den tilgængelige driftstid.</w:t>
      </w:r>
    </w:p>
    <w:p w:rsidR="00735D1F" w:rsidRDefault="00201C8F" w:rsidP="00D7531F">
      <w:pPr>
        <w:spacing w:before="120" w:after="120"/>
      </w:pPr>
      <w:r>
        <w:t xml:space="preserve">Driftseffektiviteten måles og opgøres for 1 måned ad gangen ("måleperiode"), idet den første måleperiode begynder på </w:t>
      </w:r>
      <w:r w:rsidR="009F2CF5">
        <w:t>etablerings</w:t>
      </w:r>
      <w:r>
        <w:t>dagen.</w:t>
      </w:r>
    </w:p>
    <w:p w:rsidR="00735D1F" w:rsidRDefault="00735D1F" w:rsidP="00D7531F">
      <w:pPr>
        <w:spacing w:before="120" w:after="120"/>
      </w:pPr>
      <w:r>
        <w:t>Måleværktøjer skal stilles til rådighed vederlagsfrit af leverandøren.</w:t>
      </w:r>
    </w:p>
    <w:p w:rsidR="00201C8F" w:rsidRDefault="00201C8F" w:rsidP="00201C8F"/>
    <w:p w:rsidR="00201C8F" w:rsidRPr="003E04E1" w:rsidRDefault="00201C8F" w:rsidP="003E04E1">
      <w:pPr>
        <w:rPr>
          <w:b/>
        </w:rPr>
      </w:pPr>
      <w:bookmarkStart w:id="14" w:name="_Toc68514207"/>
      <w:r w:rsidRPr="003E04E1">
        <w:rPr>
          <w:b/>
        </w:rPr>
        <w:t>Måling af svartider</w:t>
      </w:r>
      <w:bookmarkEnd w:id="14"/>
    </w:p>
    <w:p w:rsidR="00201C8F" w:rsidRPr="00D7531F" w:rsidRDefault="00201C8F" w:rsidP="00D7531F">
      <w:pPr>
        <w:spacing w:before="120" w:after="120"/>
      </w:pPr>
      <w:r>
        <w:t>Ved svartid for en transaktion forstås tidsintervallet fra brugeren sender sin kommando til resultatet er synligt for brugeren, og brugeren har mulighed for afgivelse af en ny kommando. Ved kommando forstås den meddelelse, der sendes til systemet, når Enter/Return-tast, funktionstast eller tilsvarende tast/ikon aktiveres.</w:t>
      </w:r>
    </w:p>
    <w:p w:rsidR="00201C8F" w:rsidRDefault="0054165D" w:rsidP="00D7531F">
      <w:pPr>
        <w:spacing w:before="120" w:after="120"/>
      </w:pPr>
      <w:r>
        <w:t>Måleværktøjer skal stilles til rådighed vederlagsfrit af leverandøren.</w:t>
      </w:r>
    </w:p>
    <w:p w:rsidR="00AC460C" w:rsidRDefault="00AC460C" w:rsidP="00D7531F">
      <w:pPr>
        <w:spacing w:before="120" w:after="120"/>
      </w:pPr>
      <w:r>
        <w:t xml:space="preserve">Opfyldelsesgraden for svartider måles og opgøres for 1 måned ad gangen ("måleperiode"), idet den første måleperiode begynder på </w:t>
      </w:r>
      <w:r w:rsidR="009F2CF5">
        <w:t>etablerings</w:t>
      </w:r>
      <w:r>
        <w:t>dagen.</w:t>
      </w:r>
    </w:p>
    <w:p w:rsidR="00264785" w:rsidRDefault="002A55B1" w:rsidP="00C25BEA">
      <w:pPr>
        <w:spacing w:before="120" w:after="120"/>
      </w:pPr>
      <w:r w:rsidRPr="002A55B1">
        <w:lastRenderedPageBreak/>
        <w:t>I forbindelse med konstatering af om en svartid opfylder det aftalte servicemål for opfyldelsesgrad, skal der foretages mindst 10 målinger af svartiden for den pågældende transaktion.</w:t>
      </w:r>
      <w:r>
        <w:t xml:space="preserve"> </w:t>
      </w:r>
    </w:p>
    <w:p w:rsidR="0054165D" w:rsidRDefault="00201C8F" w:rsidP="00C25BEA">
      <w:pPr>
        <w:spacing w:before="120" w:after="120"/>
      </w:pPr>
      <w:r>
        <w:t>Opfyldelsesgraden</w:t>
      </w:r>
      <w:r w:rsidR="00264785">
        <w:t xml:space="preserve"> for svartider skal udgøre min. 90% af foretagne svartidsmålinger for en bestemt transaktion, og</w:t>
      </w:r>
      <w:r>
        <w:t xml:space="preserve"> beregnes som den andel af de foretagne svartidsmålinger, der opfylder den fastsatte svartid</w:t>
      </w:r>
      <w:r w:rsidR="0054165D">
        <w:t xml:space="preserve">. </w:t>
      </w:r>
    </w:p>
    <w:p w:rsidR="00B248EE" w:rsidRDefault="00201C8F" w:rsidP="00C25BEA">
      <w:pPr>
        <w:spacing w:before="120" w:after="120"/>
      </w:pPr>
      <w:r>
        <w:t xml:space="preserve">En </w:t>
      </w:r>
      <w:r w:rsidR="006C4BBC">
        <w:t xml:space="preserve">gennemsnitlig </w:t>
      </w:r>
      <w:r>
        <w:t xml:space="preserve">overskridelse af en maksimal svartid </w:t>
      </w:r>
      <w:r w:rsidR="002C7E41">
        <w:t xml:space="preserve">inden for den aftalte driftstid på en arbejdsdag </w:t>
      </w:r>
      <w:r>
        <w:t>eller manglende opfyldelse af opfyldelsesgrad</w:t>
      </w:r>
      <w:r w:rsidR="00AF33C9">
        <w:t>en</w:t>
      </w:r>
      <w:r>
        <w:t xml:space="preserve"> indebærer, at systemet anses for utilgængeligt fra det tidspunkt, hvor forholdet er skriftligt meddelt leverandøren, og indtil forholdet er afhjulpet. Sker der samtidig overskridelse af en maksimal svartid eller manglende opfyldelse af opfyldelsesgraden for flere forskellige transaktioner, betragtes det kun som </w:t>
      </w:r>
      <w:r w:rsidR="00264785">
        <w:t>é</w:t>
      </w:r>
      <w:r>
        <w:t>n overskridelse.</w:t>
      </w:r>
    </w:p>
    <w:p w:rsidR="00264785" w:rsidRDefault="00264785" w:rsidP="00C25BEA">
      <w:pPr>
        <w:spacing w:before="120" w:after="120"/>
      </w:pPr>
    </w:p>
    <w:p w:rsidR="00201C8F" w:rsidRPr="00C25BEA" w:rsidRDefault="005363B7" w:rsidP="00C25BEA">
      <w:pPr>
        <w:pStyle w:val="Overskrift1"/>
        <w:spacing w:beforeLines="0" w:line="360" w:lineRule="auto"/>
        <w:rPr>
          <w:rFonts w:eastAsia="Times New Roman"/>
          <w:caps/>
          <w:sz w:val="22"/>
          <w:szCs w:val="22"/>
        </w:rPr>
      </w:pPr>
      <w:bookmarkStart w:id="15" w:name="_Toc418509592"/>
      <w:r w:rsidRPr="00C25BEA">
        <w:rPr>
          <w:rFonts w:eastAsia="Times New Roman"/>
          <w:caps/>
          <w:sz w:val="22"/>
          <w:szCs w:val="22"/>
        </w:rPr>
        <w:t>Reduktion</w:t>
      </w:r>
      <w:bookmarkEnd w:id="15"/>
    </w:p>
    <w:p w:rsidR="00201C8F" w:rsidRPr="00D7531F" w:rsidRDefault="00201C8F" w:rsidP="00D7531F">
      <w:pPr>
        <w:rPr>
          <w:b/>
        </w:rPr>
      </w:pPr>
      <w:bookmarkStart w:id="16" w:name="_Toc68514209"/>
      <w:r w:rsidRPr="00D7531F">
        <w:rPr>
          <w:b/>
        </w:rPr>
        <w:t>Overskridelse af servicemål</w:t>
      </w:r>
      <w:bookmarkEnd w:id="16"/>
    </w:p>
    <w:p w:rsidR="00555DB3" w:rsidRDefault="00201C8F" w:rsidP="00D7531F">
      <w:pPr>
        <w:spacing w:before="120" w:after="120"/>
      </w:pPr>
      <w:r>
        <w:t xml:space="preserve">For hvert påbegyndt procentpoint, som den beregnede driftseffektivitet ligger under den aftalte driftseffektivitet, reduceres </w:t>
      </w:r>
      <w:r w:rsidR="00175C6D">
        <w:t>periodens</w:t>
      </w:r>
      <w:r>
        <w:t xml:space="preserve"> vedligeholdelses</w:t>
      </w:r>
      <w:r w:rsidR="005363B7">
        <w:t>vederlag</w:t>
      </w:r>
      <w:r>
        <w:t xml:space="preserve">, jf. </w:t>
      </w:r>
      <w:r w:rsidRPr="00877908">
        <w:t xml:space="preserve">bilag </w:t>
      </w:r>
      <w:r w:rsidR="00175C6D">
        <w:t>5</w:t>
      </w:r>
      <w:r>
        <w:t xml:space="preserve">, således med </w:t>
      </w:r>
      <w:r w:rsidR="00AF33C9" w:rsidRPr="00555DB3">
        <w:t>10</w:t>
      </w:r>
      <w:r w:rsidR="00555DB3">
        <w:t xml:space="preserve"> </w:t>
      </w:r>
      <w:r w:rsidR="00AF33C9" w:rsidRPr="00555DB3">
        <w:t xml:space="preserve">%, </w:t>
      </w:r>
      <w:r w:rsidRPr="00555DB3">
        <w:t>for den pågældende periode</w:t>
      </w:r>
      <w:r>
        <w:t>.</w:t>
      </w:r>
    </w:p>
    <w:p w:rsidR="00FE1779" w:rsidRDefault="00FE1779" w:rsidP="00D7531F">
      <w:pPr>
        <w:spacing w:before="120" w:after="120"/>
      </w:pPr>
      <w:r>
        <w:t xml:space="preserve">Samme reduktion gælder ved </w:t>
      </w:r>
      <w:r w:rsidR="00CF4D07">
        <w:t xml:space="preserve">konstateret </w:t>
      </w:r>
      <w:r>
        <w:t>overskridelse af</w:t>
      </w:r>
      <w:r w:rsidR="00CF4D07">
        <w:t xml:space="preserve"> en eller flere af</w:t>
      </w:r>
      <w:r>
        <w:t xml:space="preserve"> </w:t>
      </w:r>
      <w:r w:rsidR="00CF4D07">
        <w:t xml:space="preserve">de garanterede reaktionstider, jf. bilag 7 og dette bilags pkt. 4, med mere end </w:t>
      </w:r>
      <w:r w:rsidR="00400F2B">
        <w:t>25</w:t>
      </w:r>
      <w:r w:rsidR="00CF4D07">
        <w:t xml:space="preserve"> %.</w:t>
      </w:r>
    </w:p>
    <w:p w:rsidR="00555DB3" w:rsidRDefault="005363B7" w:rsidP="00D7531F">
      <w:pPr>
        <w:spacing w:before="120" w:after="120"/>
      </w:pPr>
      <w:r>
        <w:t>Reduktion</w:t>
      </w:r>
      <w:r w:rsidR="00555DB3" w:rsidRPr="00ED1AB7">
        <w:t xml:space="preserve"> kan ikke </w:t>
      </w:r>
      <w:r w:rsidR="00175C6D">
        <w:t>for</w:t>
      </w:r>
      <w:r w:rsidR="00555DB3" w:rsidRPr="00ED1AB7">
        <w:t xml:space="preserve"> nogen måned overstige</w:t>
      </w:r>
      <w:r w:rsidR="00175C6D">
        <w:t xml:space="preserve"> hvad der svarer til 1 måneds</w:t>
      </w:r>
      <w:r w:rsidR="00555DB3">
        <w:t xml:space="preserve"> </w:t>
      </w:r>
      <w:r w:rsidR="00555DB3" w:rsidRPr="000B5DC1">
        <w:t>fast vederlag for brugsret, drift og vedligeholdelse</w:t>
      </w:r>
      <w:r w:rsidR="000A1581">
        <w:t xml:space="preserve"> for løsningen,</w:t>
      </w:r>
      <w:r w:rsidR="00555DB3">
        <w:t xml:space="preserve"> </w:t>
      </w:r>
      <w:r w:rsidR="00F04FBD">
        <w:t>jf.</w:t>
      </w:r>
      <w:r>
        <w:t xml:space="preserve"> </w:t>
      </w:r>
      <w:r w:rsidR="00F04FBD" w:rsidRPr="00877908">
        <w:t>bilag 5</w:t>
      </w:r>
      <w:r w:rsidR="00555DB3" w:rsidRPr="00ED1AB7">
        <w:t>.</w:t>
      </w:r>
    </w:p>
    <w:p w:rsidR="00201C8F" w:rsidRDefault="00201C8F" w:rsidP="00201C8F"/>
    <w:p w:rsidR="002E204D" w:rsidRPr="002E204D" w:rsidRDefault="002E204D" w:rsidP="002E204D">
      <w:pPr>
        <w:pStyle w:val="Indrykketbrdtekst"/>
      </w:pPr>
    </w:p>
    <w:p w:rsidR="00A444D6" w:rsidRPr="00A444D6" w:rsidRDefault="00A444D6" w:rsidP="00A444D6">
      <w:pPr>
        <w:pStyle w:val="Indrykketbrdtekst"/>
      </w:pPr>
    </w:p>
    <w:p w:rsidR="00A444D6" w:rsidRDefault="00A444D6" w:rsidP="00FC5BD4">
      <w:pPr>
        <w:pStyle w:val="Indrykketbrdtekst"/>
        <w:spacing w:line="360" w:lineRule="auto"/>
      </w:pPr>
    </w:p>
    <w:p w:rsidR="00330456" w:rsidRPr="000C4878" w:rsidRDefault="006865E3" w:rsidP="00FC5BD4">
      <w:pPr>
        <w:pStyle w:val="Indrykketbrdtekst"/>
        <w:spacing w:line="360" w:lineRule="auto"/>
      </w:pPr>
      <w:r>
        <w:t xml:space="preserve"> </w:t>
      </w:r>
    </w:p>
    <w:sectPr w:rsidR="00330456" w:rsidRPr="000C4878" w:rsidSect="005668C2">
      <w:headerReference w:type="default" r:id="rId7"/>
      <w:footerReference w:type="default" r:id="rId8"/>
      <w:headerReference w:type="first" r:id="rId9"/>
      <w:footerReference w:type="first" r:id="rId10"/>
      <w:pgSz w:w="11901" w:h="16846" w:code="9"/>
      <w:pgMar w:top="1701" w:right="1418" w:bottom="1985" w:left="1418" w:header="567" w:footer="284" w:gutter="0"/>
      <w:paperSrc w:first="1" w:other="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F2B" w:rsidRDefault="00400F2B" w:rsidP="00356EE0">
      <w:r>
        <w:separator/>
      </w:r>
    </w:p>
  </w:endnote>
  <w:endnote w:type="continuationSeparator" w:id="0">
    <w:p w:rsidR="00400F2B" w:rsidRDefault="00400F2B" w:rsidP="0035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177"/>
      <w:gridCol w:w="928"/>
      <w:gridCol w:w="4176"/>
    </w:tblGrid>
    <w:tr w:rsidR="00400F2B">
      <w:trPr>
        <w:trHeight w:val="151"/>
      </w:trPr>
      <w:tc>
        <w:tcPr>
          <w:tcW w:w="2250" w:type="pct"/>
          <w:tcBorders>
            <w:bottom w:val="single" w:sz="4" w:space="0" w:color="4F81BD" w:themeColor="accent1"/>
          </w:tcBorders>
        </w:tcPr>
        <w:p w:rsidR="00400F2B" w:rsidRDefault="00400F2B">
          <w:pPr>
            <w:pStyle w:val="Sidehoved"/>
            <w:rPr>
              <w:rFonts w:asciiTheme="majorHAnsi" w:eastAsiaTheme="majorEastAsia" w:hAnsiTheme="majorHAnsi" w:cstheme="majorBidi"/>
              <w:b/>
              <w:bCs/>
            </w:rPr>
          </w:pPr>
        </w:p>
      </w:tc>
      <w:tc>
        <w:tcPr>
          <w:tcW w:w="500" w:type="pct"/>
          <w:vMerge w:val="restart"/>
          <w:noWrap/>
          <w:vAlign w:val="center"/>
        </w:tcPr>
        <w:p w:rsidR="00400F2B" w:rsidRDefault="00400F2B">
          <w:pPr>
            <w:pStyle w:val="Ingenafstand"/>
            <w:rPr>
              <w:rFonts w:asciiTheme="majorHAnsi" w:hAnsiTheme="majorHAnsi"/>
            </w:rPr>
          </w:pPr>
          <w:r>
            <w:rPr>
              <w:rFonts w:asciiTheme="majorHAnsi" w:hAnsiTheme="majorHAnsi"/>
              <w:b/>
            </w:rPr>
            <w:t xml:space="preserve">Side </w:t>
          </w:r>
          <w:r w:rsidR="00E63AB7">
            <w:fldChar w:fldCharType="begin"/>
          </w:r>
          <w:r w:rsidR="00E63AB7">
            <w:instrText xml:space="preserve"> PAGE  \* MERGEFORMAT </w:instrText>
          </w:r>
          <w:r w:rsidR="00E63AB7">
            <w:fldChar w:fldCharType="separate"/>
          </w:r>
          <w:r w:rsidR="00E63AB7" w:rsidRPr="00E63AB7">
            <w:rPr>
              <w:rFonts w:asciiTheme="majorHAnsi" w:hAnsiTheme="majorHAnsi"/>
              <w:b/>
              <w:noProof/>
            </w:rPr>
            <w:t>2</w:t>
          </w:r>
          <w:r w:rsidR="00E63AB7">
            <w:rPr>
              <w:rFonts w:asciiTheme="majorHAnsi" w:hAnsiTheme="majorHAnsi"/>
              <w:b/>
              <w:noProof/>
            </w:rPr>
            <w:fldChar w:fldCharType="end"/>
          </w:r>
        </w:p>
      </w:tc>
      <w:tc>
        <w:tcPr>
          <w:tcW w:w="2250" w:type="pct"/>
          <w:tcBorders>
            <w:bottom w:val="single" w:sz="4" w:space="0" w:color="4F81BD" w:themeColor="accent1"/>
          </w:tcBorders>
        </w:tcPr>
        <w:p w:rsidR="00400F2B" w:rsidRDefault="00400F2B">
          <w:pPr>
            <w:pStyle w:val="Sidehoved"/>
            <w:rPr>
              <w:rFonts w:asciiTheme="majorHAnsi" w:eastAsiaTheme="majorEastAsia" w:hAnsiTheme="majorHAnsi" w:cstheme="majorBidi"/>
              <w:b/>
              <w:bCs/>
            </w:rPr>
          </w:pPr>
        </w:p>
      </w:tc>
    </w:tr>
    <w:tr w:rsidR="00400F2B">
      <w:trPr>
        <w:trHeight w:val="150"/>
      </w:trPr>
      <w:tc>
        <w:tcPr>
          <w:tcW w:w="2250" w:type="pct"/>
          <w:tcBorders>
            <w:top w:val="single" w:sz="4" w:space="0" w:color="4F81BD" w:themeColor="accent1"/>
          </w:tcBorders>
        </w:tcPr>
        <w:p w:rsidR="00400F2B" w:rsidRDefault="00400F2B">
          <w:pPr>
            <w:pStyle w:val="Sidehoved"/>
            <w:rPr>
              <w:rFonts w:asciiTheme="majorHAnsi" w:eastAsiaTheme="majorEastAsia" w:hAnsiTheme="majorHAnsi" w:cstheme="majorBidi"/>
              <w:b/>
              <w:bCs/>
            </w:rPr>
          </w:pPr>
        </w:p>
      </w:tc>
      <w:tc>
        <w:tcPr>
          <w:tcW w:w="500" w:type="pct"/>
          <w:vMerge/>
        </w:tcPr>
        <w:p w:rsidR="00400F2B" w:rsidRDefault="00400F2B">
          <w:pPr>
            <w:pStyle w:val="Sidehoved"/>
            <w:jc w:val="center"/>
            <w:rPr>
              <w:rFonts w:asciiTheme="majorHAnsi" w:eastAsiaTheme="majorEastAsia" w:hAnsiTheme="majorHAnsi" w:cstheme="majorBidi"/>
              <w:b/>
              <w:bCs/>
            </w:rPr>
          </w:pPr>
        </w:p>
      </w:tc>
      <w:tc>
        <w:tcPr>
          <w:tcW w:w="2250" w:type="pct"/>
          <w:tcBorders>
            <w:top w:val="single" w:sz="4" w:space="0" w:color="4F81BD" w:themeColor="accent1"/>
          </w:tcBorders>
        </w:tcPr>
        <w:p w:rsidR="00400F2B" w:rsidRDefault="00400F2B">
          <w:pPr>
            <w:pStyle w:val="Sidehoved"/>
            <w:rPr>
              <w:rFonts w:asciiTheme="majorHAnsi" w:eastAsiaTheme="majorEastAsia" w:hAnsiTheme="majorHAnsi" w:cstheme="majorBidi"/>
              <w:b/>
              <w:bCs/>
            </w:rPr>
          </w:pPr>
        </w:p>
      </w:tc>
    </w:tr>
  </w:tbl>
  <w:p w:rsidR="00400F2B" w:rsidRDefault="00400F2B" w:rsidP="00C67394">
    <w:pPr>
      <w:pStyle w:val="Sidefod"/>
      <w:tabs>
        <w:tab w:val="clear" w:pos="1134"/>
        <w:tab w:val="clear" w:pos="2268"/>
        <w:tab w:val="clear" w:pos="3402"/>
        <w:tab w:val="clear" w:pos="4536"/>
        <w:tab w:val="clear" w:pos="4819"/>
        <w:tab w:val="clear" w:pos="5670"/>
      </w:tabs>
      <w:ind w:left="-77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177"/>
      <w:gridCol w:w="928"/>
      <w:gridCol w:w="4176"/>
    </w:tblGrid>
    <w:tr w:rsidR="00400F2B">
      <w:trPr>
        <w:trHeight w:val="151"/>
      </w:trPr>
      <w:tc>
        <w:tcPr>
          <w:tcW w:w="2250" w:type="pct"/>
          <w:tcBorders>
            <w:bottom w:val="single" w:sz="4" w:space="0" w:color="4F81BD" w:themeColor="accent1"/>
          </w:tcBorders>
        </w:tcPr>
        <w:p w:rsidR="00400F2B" w:rsidRDefault="00400F2B">
          <w:pPr>
            <w:pStyle w:val="Sidehoved"/>
            <w:rPr>
              <w:rFonts w:asciiTheme="majorHAnsi" w:eastAsiaTheme="majorEastAsia" w:hAnsiTheme="majorHAnsi" w:cstheme="majorBidi"/>
              <w:b/>
              <w:bCs/>
            </w:rPr>
          </w:pPr>
        </w:p>
      </w:tc>
      <w:tc>
        <w:tcPr>
          <w:tcW w:w="500" w:type="pct"/>
          <w:vMerge w:val="restart"/>
          <w:noWrap/>
          <w:vAlign w:val="center"/>
        </w:tcPr>
        <w:p w:rsidR="00400F2B" w:rsidRDefault="00400F2B">
          <w:pPr>
            <w:pStyle w:val="Ingenafstand"/>
            <w:rPr>
              <w:rFonts w:asciiTheme="majorHAnsi" w:hAnsiTheme="majorHAnsi"/>
            </w:rPr>
          </w:pPr>
          <w:r>
            <w:rPr>
              <w:rFonts w:asciiTheme="majorHAnsi" w:hAnsiTheme="majorHAnsi"/>
              <w:b/>
            </w:rPr>
            <w:t xml:space="preserve">Side </w:t>
          </w:r>
          <w:r w:rsidR="00E63AB7">
            <w:fldChar w:fldCharType="begin"/>
          </w:r>
          <w:r w:rsidR="00E63AB7">
            <w:instrText xml:space="preserve"> PAGE  \* MERGEFORMAT </w:instrText>
          </w:r>
          <w:r w:rsidR="00E63AB7">
            <w:fldChar w:fldCharType="separate"/>
          </w:r>
          <w:r w:rsidR="00E63AB7" w:rsidRPr="00E63AB7">
            <w:rPr>
              <w:rFonts w:asciiTheme="majorHAnsi" w:hAnsiTheme="majorHAnsi"/>
              <w:b/>
              <w:noProof/>
            </w:rPr>
            <w:t>1</w:t>
          </w:r>
          <w:r w:rsidR="00E63AB7">
            <w:rPr>
              <w:rFonts w:asciiTheme="majorHAnsi" w:hAnsiTheme="majorHAnsi"/>
              <w:b/>
              <w:noProof/>
            </w:rPr>
            <w:fldChar w:fldCharType="end"/>
          </w:r>
        </w:p>
      </w:tc>
      <w:tc>
        <w:tcPr>
          <w:tcW w:w="2250" w:type="pct"/>
          <w:tcBorders>
            <w:bottom w:val="single" w:sz="4" w:space="0" w:color="4F81BD" w:themeColor="accent1"/>
          </w:tcBorders>
        </w:tcPr>
        <w:p w:rsidR="00400F2B" w:rsidRDefault="00400F2B">
          <w:pPr>
            <w:pStyle w:val="Sidehoved"/>
            <w:rPr>
              <w:rFonts w:asciiTheme="majorHAnsi" w:eastAsiaTheme="majorEastAsia" w:hAnsiTheme="majorHAnsi" w:cstheme="majorBidi"/>
              <w:b/>
              <w:bCs/>
            </w:rPr>
          </w:pPr>
        </w:p>
      </w:tc>
    </w:tr>
    <w:tr w:rsidR="00400F2B">
      <w:trPr>
        <w:trHeight w:val="150"/>
      </w:trPr>
      <w:tc>
        <w:tcPr>
          <w:tcW w:w="2250" w:type="pct"/>
          <w:tcBorders>
            <w:top w:val="single" w:sz="4" w:space="0" w:color="4F81BD" w:themeColor="accent1"/>
          </w:tcBorders>
        </w:tcPr>
        <w:p w:rsidR="00400F2B" w:rsidRDefault="00400F2B">
          <w:pPr>
            <w:pStyle w:val="Sidehoved"/>
            <w:rPr>
              <w:rFonts w:asciiTheme="majorHAnsi" w:eastAsiaTheme="majorEastAsia" w:hAnsiTheme="majorHAnsi" w:cstheme="majorBidi"/>
              <w:b/>
              <w:bCs/>
            </w:rPr>
          </w:pPr>
        </w:p>
      </w:tc>
      <w:tc>
        <w:tcPr>
          <w:tcW w:w="500" w:type="pct"/>
          <w:vMerge/>
        </w:tcPr>
        <w:p w:rsidR="00400F2B" w:rsidRDefault="00400F2B">
          <w:pPr>
            <w:pStyle w:val="Sidehoved"/>
            <w:jc w:val="center"/>
            <w:rPr>
              <w:rFonts w:asciiTheme="majorHAnsi" w:eastAsiaTheme="majorEastAsia" w:hAnsiTheme="majorHAnsi" w:cstheme="majorBidi"/>
              <w:b/>
              <w:bCs/>
            </w:rPr>
          </w:pPr>
        </w:p>
      </w:tc>
      <w:tc>
        <w:tcPr>
          <w:tcW w:w="2250" w:type="pct"/>
          <w:tcBorders>
            <w:top w:val="single" w:sz="4" w:space="0" w:color="4F81BD" w:themeColor="accent1"/>
          </w:tcBorders>
        </w:tcPr>
        <w:p w:rsidR="00400F2B" w:rsidRDefault="00400F2B">
          <w:pPr>
            <w:pStyle w:val="Sidehoved"/>
            <w:rPr>
              <w:rFonts w:asciiTheme="majorHAnsi" w:eastAsiaTheme="majorEastAsia" w:hAnsiTheme="majorHAnsi" w:cstheme="majorBidi"/>
              <w:b/>
              <w:bCs/>
            </w:rPr>
          </w:pPr>
        </w:p>
      </w:tc>
    </w:tr>
  </w:tbl>
  <w:p w:rsidR="00400F2B" w:rsidRDefault="00400F2B" w:rsidP="005552CF">
    <w:pPr>
      <w:pStyle w:val="Sidefod"/>
      <w:tabs>
        <w:tab w:val="clear" w:pos="1134"/>
        <w:tab w:val="clear" w:pos="2268"/>
        <w:tab w:val="clear" w:pos="3402"/>
        <w:tab w:val="clear" w:pos="4536"/>
        <w:tab w:val="clear" w:pos="4819"/>
        <w:tab w:val="clear" w:pos="5670"/>
      </w:tabs>
      <w:ind w:left="-771"/>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F2B" w:rsidRDefault="00400F2B" w:rsidP="00356EE0">
      <w:r>
        <w:separator/>
      </w:r>
    </w:p>
  </w:footnote>
  <w:footnote w:type="continuationSeparator" w:id="0">
    <w:p w:rsidR="00400F2B" w:rsidRDefault="00400F2B" w:rsidP="00356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F2B" w:rsidRDefault="00400F2B" w:rsidP="00C201CD">
    <w:pPr>
      <w:pStyle w:val="Logotop"/>
      <w:framePr w:wrap="around" w:x="7486" w:y="571"/>
    </w:pPr>
  </w:p>
  <w:p w:rsidR="00400F2B" w:rsidRDefault="00400F2B" w:rsidP="00DA606E">
    <w:pPr>
      <w:pStyle w:val="Sidehoved"/>
      <w:tabs>
        <w:tab w:val="right" w:pos="4819"/>
        <w:tab w:val="left" w:pos="6300"/>
      </w:tabs>
      <w:rPr>
        <w:b/>
        <w:color w:val="009900"/>
      </w:rPr>
    </w:pPr>
    <w:r>
      <w:rPr>
        <w:b/>
        <w:noProof/>
        <w:color w:val="009900"/>
      </w:rPr>
      <w:drawing>
        <wp:anchor distT="0" distB="0" distL="114300" distR="114300" simplePos="0" relativeHeight="251664384" behindDoc="1" locked="0" layoutInCell="1" allowOverlap="1">
          <wp:simplePos x="0" y="0"/>
          <wp:positionH relativeFrom="column">
            <wp:posOffset>3958590</wp:posOffset>
          </wp:positionH>
          <wp:positionV relativeFrom="paragraph">
            <wp:posOffset>39370</wp:posOffset>
          </wp:positionV>
          <wp:extent cx="2219325" cy="665480"/>
          <wp:effectExtent l="19050" t="0" r="9525" b="0"/>
          <wp:wrapTight wrapText="bothSides">
            <wp:wrapPolygon edited="0">
              <wp:start x="-185" y="0"/>
              <wp:lineTo x="-185" y="3710"/>
              <wp:lineTo x="3708" y="9893"/>
              <wp:lineTo x="5933" y="9893"/>
              <wp:lineTo x="6675" y="19786"/>
              <wp:lineTo x="7231" y="21023"/>
              <wp:lineTo x="8900" y="21023"/>
              <wp:lineTo x="9085" y="21023"/>
              <wp:lineTo x="10012" y="19786"/>
              <wp:lineTo x="21693" y="10511"/>
              <wp:lineTo x="21693" y="5565"/>
              <wp:lineTo x="20951" y="4328"/>
              <wp:lineTo x="16501" y="0"/>
              <wp:lineTo x="-185" y="0"/>
            </wp:wrapPolygon>
          </wp:wrapTight>
          <wp:docPr id="3" name="Billede 2" descr="Skjold_navn_lille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jold_navn_lille_4f"/>
                  <pic:cNvPicPr>
                    <a:picLocks noChangeAspect="1" noChangeArrowheads="1"/>
                  </pic:cNvPicPr>
                </pic:nvPicPr>
                <pic:blipFill>
                  <a:blip r:embed="rId1"/>
                  <a:srcRect/>
                  <a:stretch>
                    <a:fillRect/>
                  </a:stretch>
                </pic:blipFill>
                <pic:spPr bwMode="auto">
                  <a:xfrm>
                    <a:off x="0" y="0"/>
                    <a:ext cx="2219325" cy="665480"/>
                  </a:xfrm>
                  <a:prstGeom prst="rect">
                    <a:avLst/>
                  </a:prstGeom>
                  <a:noFill/>
                  <a:ln w="9525">
                    <a:noFill/>
                    <a:miter lim="800000"/>
                    <a:headEnd/>
                    <a:tailEnd/>
                  </a:ln>
                </pic:spPr>
              </pic:pic>
            </a:graphicData>
          </a:graphic>
        </wp:anchor>
      </w:drawing>
    </w:r>
    <w:r>
      <w:rPr>
        <w:b/>
        <w:noProof/>
        <w:color w:val="009900"/>
      </w:rPr>
      <w:t>Servicemål - dialogportal</w:t>
    </w:r>
  </w:p>
  <w:p w:rsidR="00400F2B" w:rsidRDefault="00400F2B" w:rsidP="00DA606E">
    <w:pPr>
      <w:pStyle w:val="Sidehoved"/>
      <w:tabs>
        <w:tab w:val="right" w:pos="4819"/>
        <w:tab w:val="left" w:pos="6300"/>
      </w:tabs>
      <w:rPr>
        <w:b/>
        <w:color w:val="009900"/>
      </w:rPr>
    </w:pPr>
    <w:r>
      <w:rPr>
        <w:b/>
        <w:color w:val="009900"/>
      </w:rPr>
      <w:t xml:space="preserve">      </w:t>
    </w:r>
  </w:p>
  <w:p w:rsidR="00400F2B" w:rsidRDefault="00400F2B" w:rsidP="00DA606E">
    <w:pPr>
      <w:pStyle w:val="Sidehoved"/>
      <w:tabs>
        <w:tab w:val="right" w:pos="4819"/>
        <w:tab w:val="left" w:pos="6300"/>
      </w:tabs>
      <w:rPr>
        <w:b/>
        <w:color w:val="009900"/>
      </w:rPr>
    </w:pPr>
    <w:r>
      <w:rPr>
        <w:b/>
        <w:color w:val="009900"/>
      </w:rPr>
      <w:t xml:space="preserve">                                                                                      </w:t>
    </w:r>
  </w:p>
  <w:p w:rsidR="00400F2B" w:rsidRPr="00237738" w:rsidRDefault="00400F2B" w:rsidP="00DA606E">
    <w:pPr>
      <w:pStyle w:val="Sidehoved"/>
      <w:tabs>
        <w:tab w:val="right" w:pos="4819"/>
        <w:tab w:val="left" w:pos="6300"/>
      </w:tabs>
      <w:rPr>
        <w:b/>
        <w:noProof/>
        <w:color w:val="009900"/>
      </w:rPr>
    </w:pPr>
    <w:r w:rsidRPr="00237738">
      <w:rPr>
        <w:b/>
        <w:noProof/>
        <w:color w:val="009900"/>
      </w:rPr>
      <w:t xml:space="preserve">Bilag </w:t>
    </w:r>
    <w:r>
      <w:rPr>
        <w:b/>
        <w:noProof/>
        <w:color w:val="009900"/>
      </w:rPr>
      <w:t>11</w:t>
    </w:r>
  </w:p>
  <w:p w:rsidR="00400F2B" w:rsidRPr="00237738" w:rsidRDefault="00E63AB7" w:rsidP="00DA606E">
    <w:pPr>
      <w:pStyle w:val="Sidehoved"/>
    </w:pPr>
    <w:r>
      <w:rPr>
        <w:noProof/>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76200</wp:posOffset>
              </wp:positionV>
              <wp:extent cx="6155690" cy="1079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90" cy="107950"/>
                      </a:xfrm>
                      <a:prstGeom prst="rect">
                        <a:avLst/>
                      </a:prstGeom>
                      <a:gradFill rotWithShape="1">
                        <a:gsLst>
                          <a:gs pos="0">
                            <a:srgbClr val="009900"/>
                          </a:gs>
                          <a:gs pos="100000">
                            <a:srgbClr val="66CC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93DB" id="Rectangle 2" o:spid="_x0000_s1026" style="position:absolute;margin-left:1.5pt;margin-top:6pt;width:484.7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" fillcolor="#090" stroked="f">
              <v:fill color2="#6cf" rotate="t" angle="90" focus="100%" type="gradient"/>
            </v:rect>
          </w:pict>
        </mc:Fallback>
      </mc:AlternateContent>
    </w:r>
  </w:p>
  <w:p w:rsidR="00400F2B" w:rsidRDefault="00400F2B" w:rsidP="00FC5BD4">
    <w:pPr>
      <w:pStyle w:val="Sidehoved"/>
      <w:jc w:val="left"/>
    </w:pPr>
    <w:r>
      <w:rPr>
        <w:b/>
      </w:rPr>
      <w:tab/>
    </w:r>
    <w:r>
      <w:rPr>
        <w:b/>
      </w:rPr>
      <w:tab/>
    </w:r>
    <w:r>
      <w:rPr>
        <w:b/>
      </w:rPr>
      <w:tab/>
    </w:r>
    <w:r>
      <w:rPr>
        <w: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F2B" w:rsidRDefault="00400F2B" w:rsidP="00DA606E">
    <w:pPr>
      <w:pStyle w:val="Sidehoved"/>
      <w:tabs>
        <w:tab w:val="right" w:pos="4819"/>
        <w:tab w:val="left" w:pos="6300"/>
      </w:tabs>
      <w:rPr>
        <w:b/>
        <w:color w:val="009900"/>
      </w:rPr>
    </w:pPr>
    <w:r>
      <w:rPr>
        <w:b/>
        <w:noProof/>
        <w:color w:val="009900"/>
      </w:rPr>
      <w:drawing>
        <wp:anchor distT="0" distB="0" distL="114300" distR="114300" simplePos="0" relativeHeight="251661312" behindDoc="1" locked="0" layoutInCell="1" allowOverlap="1">
          <wp:simplePos x="0" y="0"/>
          <wp:positionH relativeFrom="column">
            <wp:posOffset>3958590</wp:posOffset>
          </wp:positionH>
          <wp:positionV relativeFrom="paragraph">
            <wp:posOffset>39370</wp:posOffset>
          </wp:positionV>
          <wp:extent cx="2219325" cy="665480"/>
          <wp:effectExtent l="19050" t="0" r="9525" b="0"/>
          <wp:wrapTight wrapText="bothSides">
            <wp:wrapPolygon edited="0">
              <wp:start x="-185" y="0"/>
              <wp:lineTo x="-185" y="3710"/>
              <wp:lineTo x="3708" y="9893"/>
              <wp:lineTo x="5933" y="9893"/>
              <wp:lineTo x="6675" y="19786"/>
              <wp:lineTo x="7231" y="21023"/>
              <wp:lineTo x="8900" y="21023"/>
              <wp:lineTo x="9085" y="21023"/>
              <wp:lineTo x="10012" y="19786"/>
              <wp:lineTo x="21693" y="10511"/>
              <wp:lineTo x="21693" y="5565"/>
              <wp:lineTo x="20951" y="4328"/>
              <wp:lineTo x="16501" y="0"/>
              <wp:lineTo x="-185" y="0"/>
            </wp:wrapPolygon>
          </wp:wrapTight>
          <wp:docPr id="2" name="Billede 2" descr="Skjold_navn_lille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jold_navn_lille_4f"/>
                  <pic:cNvPicPr>
                    <a:picLocks noChangeAspect="1" noChangeArrowheads="1"/>
                  </pic:cNvPicPr>
                </pic:nvPicPr>
                <pic:blipFill>
                  <a:blip r:embed="rId1"/>
                  <a:srcRect/>
                  <a:stretch>
                    <a:fillRect/>
                  </a:stretch>
                </pic:blipFill>
                <pic:spPr bwMode="auto">
                  <a:xfrm>
                    <a:off x="0" y="0"/>
                    <a:ext cx="2219325" cy="665480"/>
                  </a:xfrm>
                  <a:prstGeom prst="rect">
                    <a:avLst/>
                  </a:prstGeom>
                  <a:noFill/>
                  <a:ln w="9525">
                    <a:noFill/>
                    <a:miter lim="800000"/>
                    <a:headEnd/>
                    <a:tailEnd/>
                  </a:ln>
                </pic:spPr>
              </pic:pic>
            </a:graphicData>
          </a:graphic>
        </wp:anchor>
      </w:drawing>
    </w:r>
    <w:r>
      <w:rPr>
        <w:b/>
        <w:noProof/>
        <w:color w:val="009900"/>
      </w:rPr>
      <w:t>Servicemål - dialogportal</w:t>
    </w:r>
  </w:p>
  <w:p w:rsidR="00400F2B" w:rsidRDefault="00400F2B" w:rsidP="00DA606E">
    <w:pPr>
      <w:pStyle w:val="Sidehoved"/>
      <w:tabs>
        <w:tab w:val="right" w:pos="4819"/>
        <w:tab w:val="left" w:pos="6300"/>
      </w:tabs>
      <w:rPr>
        <w:b/>
        <w:color w:val="009900"/>
      </w:rPr>
    </w:pPr>
    <w:r>
      <w:rPr>
        <w:b/>
        <w:color w:val="009900"/>
      </w:rPr>
      <w:t xml:space="preserve">      </w:t>
    </w:r>
  </w:p>
  <w:p w:rsidR="00400F2B" w:rsidRDefault="00400F2B" w:rsidP="00DA606E">
    <w:pPr>
      <w:pStyle w:val="Sidehoved"/>
      <w:tabs>
        <w:tab w:val="right" w:pos="4819"/>
        <w:tab w:val="left" w:pos="6300"/>
      </w:tabs>
      <w:rPr>
        <w:b/>
        <w:color w:val="009900"/>
      </w:rPr>
    </w:pPr>
    <w:r>
      <w:rPr>
        <w:b/>
        <w:color w:val="009900"/>
      </w:rPr>
      <w:t xml:space="preserve">                                                                                      </w:t>
    </w:r>
  </w:p>
  <w:p w:rsidR="00400F2B" w:rsidRPr="00237738" w:rsidRDefault="00400F2B" w:rsidP="00DA606E">
    <w:pPr>
      <w:pStyle w:val="Sidehoved"/>
      <w:tabs>
        <w:tab w:val="right" w:pos="4819"/>
        <w:tab w:val="left" w:pos="6300"/>
      </w:tabs>
      <w:rPr>
        <w:b/>
        <w:noProof/>
        <w:color w:val="009900"/>
      </w:rPr>
    </w:pPr>
    <w:r w:rsidRPr="00237738">
      <w:rPr>
        <w:b/>
        <w:noProof/>
        <w:color w:val="009900"/>
      </w:rPr>
      <w:t xml:space="preserve">Bilag </w:t>
    </w:r>
    <w:r>
      <w:rPr>
        <w:b/>
        <w:noProof/>
        <w:color w:val="009900"/>
      </w:rPr>
      <w:t>11</w:t>
    </w:r>
  </w:p>
  <w:p w:rsidR="00400F2B" w:rsidRPr="00237738" w:rsidRDefault="00E63AB7" w:rsidP="00DA606E">
    <w:pPr>
      <w:pStyle w:val="Sidehoved"/>
    </w:pPr>
    <w:r>
      <w:rPr>
        <w:noProof/>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76200</wp:posOffset>
              </wp:positionV>
              <wp:extent cx="6155690" cy="1079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90" cy="107950"/>
                      </a:xfrm>
                      <a:prstGeom prst="rect">
                        <a:avLst/>
                      </a:prstGeom>
                      <a:gradFill rotWithShape="1">
                        <a:gsLst>
                          <a:gs pos="0">
                            <a:srgbClr val="009900"/>
                          </a:gs>
                          <a:gs pos="100000">
                            <a:srgbClr val="66CC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00E45" id="Rectangle 1" o:spid="_x0000_s1026" style="position:absolute;margin-left:1.5pt;margin-top:6pt;width:484.7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" fillcolor="#090" stroked="f">
              <v:fill color2="#6cf" rotate="t" angle="90" focus="100%" type="gradient"/>
            </v:rect>
          </w:pict>
        </mc:Fallback>
      </mc:AlternateContent>
    </w:r>
  </w:p>
  <w:p w:rsidR="00400F2B" w:rsidRPr="006865E3" w:rsidRDefault="00400F2B" w:rsidP="00FC5BD4">
    <w:pPr>
      <w:pStyle w:val="Sidehoved"/>
      <w:jc w:val="left"/>
      <w:rPr>
        <w:b/>
      </w:rPr>
    </w:pPr>
    <w:r>
      <w:rPr>
        <w:b/>
      </w:rPr>
      <w:tab/>
    </w:r>
    <w:r>
      <w:rPr>
        <w:b/>
      </w:rPr>
      <w:tab/>
    </w:r>
    <w:r>
      <w:rPr>
        <w:b/>
      </w:rPr>
      <w:tab/>
    </w: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C1B85"/>
    <w:multiLevelType w:val="multilevel"/>
    <w:tmpl w:val="CAD4D29E"/>
    <w:lvl w:ilvl="0">
      <w:start w:val="1"/>
      <w:numFmt w:val="decimal"/>
      <w:lvlText w:val="%1."/>
      <w:lvlJc w:val="left"/>
      <w:pPr>
        <w:tabs>
          <w:tab w:val="num" w:pos="624"/>
        </w:tabs>
        <w:ind w:left="624" w:hanging="624"/>
      </w:pPr>
      <w:rPr>
        <w:rFonts w:ascii="Verdana" w:hAnsi="Verdana" w:cs="Times New Roman" w:hint="default"/>
        <w:b/>
        <w:i w:val="0"/>
        <w:color w:val="009DE0"/>
        <w:sz w:val="28"/>
      </w:rPr>
    </w:lvl>
    <w:lvl w:ilvl="1">
      <w:start w:val="1"/>
      <w:numFmt w:val="decimal"/>
      <w:lvlText w:val="%1.%2"/>
      <w:lvlJc w:val="left"/>
      <w:pPr>
        <w:tabs>
          <w:tab w:val="num" w:pos="0"/>
        </w:tabs>
        <w:ind w:hanging="624"/>
      </w:pPr>
      <w:rPr>
        <w:rFonts w:ascii="Verdana" w:hAnsi="Verdana" w:cs="Times New Roman" w:hint="default"/>
        <w:b/>
        <w:i w:val="0"/>
        <w:color w:val="000000"/>
        <w:sz w:val="20"/>
      </w:rPr>
    </w:lvl>
    <w:lvl w:ilvl="2">
      <w:start w:val="1"/>
      <w:numFmt w:val="decimal"/>
      <w:lvlText w:val="%1.%2.%3"/>
      <w:lvlJc w:val="left"/>
      <w:pPr>
        <w:tabs>
          <w:tab w:val="num" w:pos="0"/>
        </w:tabs>
        <w:ind w:hanging="624"/>
      </w:pPr>
      <w:rPr>
        <w:rFonts w:ascii="Verdana" w:hAnsi="Verdana" w:cs="Times New Roman" w:hint="default"/>
        <w:b/>
        <w:i w:val="0"/>
        <w:color w:val="000000"/>
        <w:sz w:val="17"/>
      </w:rPr>
    </w:lvl>
    <w:lvl w:ilvl="3">
      <w:start w:val="1"/>
      <w:numFmt w:val="decimal"/>
      <w:lvlText w:val="%1.%2.%3.%4"/>
      <w:lvlJc w:val="left"/>
      <w:pPr>
        <w:tabs>
          <w:tab w:val="num" w:pos="284"/>
        </w:tabs>
        <w:ind w:left="284" w:hanging="908"/>
      </w:pPr>
      <w:rPr>
        <w:rFonts w:ascii="Verdana" w:hAnsi="Verdana" w:cs="Times New Roman" w:hint="default"/>
        <w:b/>
        <w:i w:val="0"/>
        <w:color w:val="auto"/>
        <w:sz w:val="18"/>
      </w:rPr>
    </w:lvl>
    <w:lvl w:ilvl="4">
      <w:start w:val="1"/>
      <w:numFmt w:val="decimal"/>
      <w:lvlText w:val="%1.%2.%3.%4.%5"/>
      <w:lvlJc w:val="left"/>
      <w:pPr>
        <w:tabs>
          <w:tab w:val="num" w:pos="567"/>
        </w:tabs>
        <w:ind w:left="567" w:hanging="1191"/>
      </w:pPr>
      <w:rPr>
        <w:rFonts w:cs="Times New Roman" w:hint="default"/>
      </w:rPr>
    </w:lvl>
    <w:lvl w:ilvl="5">
      <w:start w:val="1"/>
      <w:numFmt w:val="decimal"/>
      <w:lvlText w:val="%1.%2.%3.%4.%5.%6"/>
      <w:lvlJc w:val="left"/>
      <w:pPr>
        <w:tabs>
          <w:tab w:val="num" w:pos="567"/>
        </w:tabs>
        <w:ind w:left="567" w:hanging="1191"/>
      </w:pPr>
      <w:rPr>
        <w:rFonts w:cs="Times New Roman" w:hint="default"/>
      </w:rPr>
    </w:lvl>
    <w:lvl w:ilvl="6">
      <w:start w:val="1"/>
      <w:numFmt w:val="decimal"/>
      <w:lvlText w:val="%1.%2.%3.%4.%5.%6.%7"/>
      <w:lvlJc w:val="left"/>
      <w:pPr>
        <w:tabs>
          <w:tab w:val="num" w:pos="851"/>
        </w:tabs>
        <w:ind w:left="851" w:hanging="1475"/>
      </w:pPr>
      <w:rPr>
        <w:rFonts w:cs="Times New Roman" w:hint="default"/>
      </w:rPr>
    </w:lvl>
    <w:lvl w:ilvl="7">
      <w:start w:val="1"/>
      <w:numFmt w:val="decimal"/>
      <w:lvlText w:val="%1.%2.%3.%4.%5.%6.%7.%8"/>
      <w:lvlJc w:val="left"/>
      <w:pPr>
        <w:tabs>
          <w:tab w:val="num" w:pos="851"/>
        </w:tabs>
        <w:ind w:left="851" w:hanging="1475"/>
      </w:pPr>
      <w:rPr>
        <w:rFonts w:cs="Times New Roman" w:hint="default"/>
      </w:rPr>
    </w:lvl>
    <w:lvl w:ilvl="8">
      <w:start w:val="1"/>
      <w:numFmt w:val="decimal"/>
      <w:lvlText w:val="%1.%2.%3.%4.%5.%6.%7.%8.%9"/>
      <w:lvlJc w:val="left"/>
      <w:pPr>
        <w:tabs>
          <w:tab w:val="num" w:pos="1134"/>
        </w:tabs>
        <w:ind w:left="1134" w:hanging="1758"/>
      </w:pPr>
      <w:rPr>
        <w:rFonts w:cs="Times New Roman" w:hint="default"/>
      </w:rPr>
    </w:lvl>
  </w:abstractNum>
  <w:abstractNum w:abstractNumId="1">
    <w:nsid w:val="2FA461A7"/>
    <w:multiLevelType w:val="multilevel"/>
    <w:tmpl w:val="61FEC62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3FE153FF"/>
    <w:multiLevelType w:val="multilevel"/>
    <w:tmpl w:val="17E88C3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438914A8"/>
    <w:multiLevelType w:val="multilevel"/>
    <w:tmpl w:val="FADC7E9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464B6481"/>
    <w:multiLevelType w:val="multilevel"/>
    <w:tmpl w:val="C5BEA496"/>
    <w:lvl w:ilvl="0">
      <w:start w:val="1"/>
      <w:numFmt w:val="decimal"/>
      <w:pStyle w:val="Overskrift1"/>
      <w:lvlText w:val="%1."/>
      <w:lvlJc w:val="left"/>
      <w:pPr>
        <w:tabs>
          <w:tab w:val="num" w:pos="720"/>
        </w:tabs>
        <w:ind w:left="720" w:hanging="720"/>
      </w:pPr>
      <w:rPr>
        <w:rFonts w:hint="default"/>
      </w:rPr>
    </w:lvl>
    <w:lvl w:ilvl="1">
      <w:start w:val="1"/>
      <w:numFmt w:val="decimal"/>
      <w:pStyle w:val="Overskrift2"/>
      <w:lvlText w:val="%1.%2."/>
      <w:lvlJc w:val="left"/>
      <w:pPr>
        <w:tabs>
          <w:tab w:val="num" w:pos="720"/>
        </w:tabs>
        <w:ind w:left="720" w:hanging="720"/>
      </w:pPr>
      <w:rPr>
        <w:rFonts w:hint="default"/>
      </w:rPr>
    </w:lvl>
    <w:lvl w:ilvl="2">
      <w:start w:val="1"/>
      <w:numFmt w:val="decimal"/>
      <w:pStyle w:val="Overskrift3"/>
      <w:lvlText w:val="%1.%2.%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5B63408C"/>
    <w:multiLevelType w:val="multilevel"/>
    <w:tmpl w:val="61FEC62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619B3486"/>
    <w:multiLevelType w:val="multilevel"/>
    <w:tmpl w:val="E8C21BA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6F8222BD"/>
    <w:multiLevelType w:val="hybridMultilevel"/>
    <w:tmpl w:val="BB2635E8"/>
    <w:lvl w:ilvl="0" w:tplc="39C82B86">
      <w:start w:val="1"/>
      <w:numFmt w:val="decimal"/>
      <w:lvlText w:val="%1."/>
      <w:legacy w:legacy="1" w:legacySpace="0" w:legacyIndent="283"/>
      <w:lvlJc w:val="left"/>
      <w:pPr>
        <w:ind w:left="283" w:hanging="283"/>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8">
    <w:nsid w:val="714A7508"/>
    <w:multiLevelType w:val="hybridMultilevel"/>
    <w:tmpl w:val="3AA89930"/>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nsid w:val="731D6D00"/>
    <w:multiLevelType w:val="multilevel"/>
    <w:tmpl w:val="31283E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8DA147E"/>
    <w:multiLevelType w:val="multilevel"/>
    <w:tmpl w:val="3B208A3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7A13096F"/>
    <w:multiLevelType w:val="hybridMultilevel"/>
    <w:tmpl w:val="AAD8CD50"/>
    <w:lvl w:ilvl="0" w:tplc="384C1CDA">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nsid w:val="7F081CD3"/>
    <w:multiLevelType w:val="multilevel"/>
    <w:tmpl w:val="07602C7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8"/>
  </w:num>
  <w:num w:numId="2">
    <w:abstractNumId w:val="11"/>
  </w:num>
  <w:num w:numId="3">
    <w:abstractNumId w:val="9"/>
  </w:num>
  <w:num w:numId="4">
    <w:abstractNumId w:val="6"/>
  </w:num>
  <w:num w:numId="5">
    <w:abstractNumId w:val="3"/>
  </w:num>
  <w:num w:numId="6">
    <w:abstractNumId w:val="4"/>
  </w:num>
  <w:num w:numId="7">
    <w:abstractNumId w:val="1"/>
  </w:num>
  <w:num w:numId="8">
    <w:abstractNumId w:val="5"/>
  </w:num>
  <w:num w:numId="9">
    <w:abstractNumId w:val="12"/>
  </w:num>
  <w:num w:numId="10">
    <w:abstractNumId w:val="2"/>
  </w:num>
  <w:num w:numId="11">
    <w:abstractNumId w:val="10"/>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0"/>
  </w:num>
  <w:num w:numId="20">
    <w:abstractNumId w:val="4"/>
  </w:num>
  <w:num w:numId="21">
    <w:abstractNumId w:val="7"/>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2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fficeInstanceGUID" w:val="{4137781E-87D0-4090-8E64-FAC7BCEB245F}"/>
  </w:docVars>
  <w:rsids>
    <w:rsidRoot w:val="006865E3"/>
    <w:rsid w:val="000243BF"/>
    <w:rsid w:val="00031F93"/>
    <w:rsid w:val="000340C3"/>
    <w:rsid w:val="00042A30"/>
    <w:rsid w:val="00055919"/>
    <w:rsid w:val="00070782"/>
    <w:rsid w:val="00080E4E"/>
    <w:rsid w:val="00091182"/>
    <w:rsid w:val="00093E57"/>
    <w:rsid w:val="000A1581"/>
    <w:rsid w:val="000B0202"/>
    <w:rsid w:val="000C4878"/>
    <w:rsid w:val="000C5FDB"/>
    <w:rsid w:val="000C6FF0"/>
    <w:rsid w:val="000E6E38"/>
    <w:rsid w:val="000F0C2F"/>
    <w:rsid w:val="000F35F2"/>
    <w:rsid w:val="000F689F"/>
    <w:rsid w:val="000F744B"/>
    <w:rsid w:val="000F797E"/>
    <w:rsid w:val="00105E02"/>
    <w:rsid w:val="00106411"/>
    <w:rsid w:val="0011482F"/>
    <w:rsid w:val="001220DC"/>
    <w:rsid w:val="001541CB"/>
    <w:rsid w:val="00160C2A"/>
    <w:rsid w:val="00175C6D"/>
    <w:rsid w:val="0018364E"/>
    <w:rsid w:val="00191EBF"/>
    <w:rsid w:val="00192A3F"/>
    <w:rsid w:val="00194B32"/>
    <w:rsid w:val="0019556F"/>
    <w:rsid w:val="001A4D14"/>
    <w:rsid w:val="001D0F37"/>
    <w:rsid w:val="001D2672"/>
    <w:rsid w:val="001D3E09"/>
    <w:rsid w:val="001D697F"/>
    <w:rsid w:val="001D72F3"/>
    <w:rsid w:val="0020195C"/>
    <w:rsid w:val="00201C8F"/>
    <w:rsid w:val="00206900"/>
    <w:rsid w:val="00207728"/>
    <w:rsid w:val="00210E10"/>
    <w:rsid w:val="00211323"/>
    <w:rsid w:val="0021233E"/>
    <w:rsid w:val="0021325A"/>
    <w:rsid w:val="00221126"/>
    <w:rsid w:val="00243602"/>
    <w:rsid w:val="00246D70"/>
    <w:rsid w:val="00257836"/>
    <w:rsid w:val="00264785"/>
    <w:rsid w:val="00266DC0"/>
    <w:rsid w:val="00272A2A"/>
    <w:rsid w:val="002739D8"/>
    <w:rsid w:val="00281353"/>
    <w:rsid w:val="002839AD"/>
    <w:rsid w:val="002A1C0D"/>
    <w:rsid w:val="002A1D4F"/>
    <w:rsid w:val="002A55B1"/>
    <w:rsid w:val="002B68A7"/>
    <w:rsid w:val="002C2CA6"/>
    <w:rsid w:val="002C7E41"/>
    <w:rsid w:val="002D41D5"/>
    <w:rsid w:val="002E204D"/>
    <w:rsid w:val="003030A0"/>
    <w:rsid w:val="00305130"/>
    <w:rsid w:val="00306CB9"/>
    <w:rsid w:val="00312CC1"/>
    <w:rsid w:val="00320FE7"/>
    <w:rsid w:val="00330456"/>
    <w:rsid w:val="00333526"/>
    <w:rsid w:val="00345974"/>
    <w:rsid w:val="003561CB"/>
    <w:rsid w:val="00356EE0"/>
    <w:rsid w:val="00357C18"/>
    <w:rsid w:val="00384B8F"/>
    <w:rsid w:val="00390438"/>
    <w:rsid w:val="0039461F"/>
    <w:rsid w:val="003A7111"/>
    <w:rsid w:val="003B1B8C"/>
    <w:rsid w:val="003C31A6"/>
    <w:rsid w:val="003C5126"/>
    <w:rsid w:val="003D2FBE"/>
    <w:rsid w:val="003D503B"/>
    <w:rsid w:val="003D6016"/>
    <w:rsid w:val="003D6293"/>
    <w:rsid w:val="003D7B98"/>
    <w:rsid w:val="003E04E1"/>
    <w:rsid w:val="003E0B75"/>
    <w:rsid w:val="003E321F"/>
    <w:rsid w:val="003E75A5"/>
    <w:rsid w:val="003F3127"/>
    <w:rsid w:val="00400F2B"/>
    <w:rsid w:val="004048E9"/>
    <w:rsid w:val="00406954"/>
    <w:rsid w:val="004079B9"/>
    <w:rsid w:val="004311EF"/>
    <w:rsid w:val="00434D06"/>
    <w:rsid w:val="004515B5"/>
    <w:rsid w:val="00452741"/>
    <w:rsid w:val="00456F28"/>
    <w:rsid w:val="00461F59"/>
    <w:rsid w:val="00477EA2"/>
    <w:rsid w:val="00484B0A"/>
    <w:rsid w:val="00484ED9"/>
    <w:rsid w:val="004B16AD"/>
    <w:rsid w:val="004B4A5C"/>
    <w:rsid w:val="004B616E"/>
    <w:rsid w:val="004C3547"/>
    <w:rsid w:val="004C6585"/>
    <w:rsid w:val="004D64DD"/>
    <w:rsid w:val="004E3A02"/>
    <w:rsid w:val="004E6B13"/>
    <w:rsid w:val="00500CC5"/>
    <w:rsid w:val="005019AC"/>
    <w:rsid w:val="0050662D"/>
    <w:rsid w:val="005111A3"/>
    <w:rsid w:val="00524B8E"/>
    <w:rsid w:val="00525D64"/>
    <w:rsid w:val="0053583C"/>
    <w:rsid w:val="005363B7"/>
    <w:rsid w:val="0054165D"/>
    <w:rsid w:val="005428B6"/>
    <w:rsid w:val="00547BB4"/>
    <w:rsid w:val="00554B2A"/>
    <w:rsid w:val="005552CF"/>
    <w:rsid w:val="00555DB3"/>
    <w:rsid w:val="00562420"/>
    <w:rsid w:val="00565FC5"/>
    <w:rsid w:val="005668C2"/>
    <w:rsid w:val="00571B19"/>
    <w:rsid w:val="00580EBD"/>
    <w:rsid w:val="005956D7"/>
    <w:rsid w:val="005B3CFF"/>
    <w:rsid w:val="005D54C9"/>
    <w:rsid w:val="005F50E2"/>
    <w:rsid w:val="006060D2"/>
    <w:rsid w:val="00607DB1"/>
    <w:rsid w:val="006207B8"/>
    <w:rsid w:val="006336F8"/>
    <w:rsid w:val="00641ED6"/>
    <w:rsid w:val="00646238"/>
    <w:rsid w:val="00670FD2"/>
    <w:rsid w:val="00675BFC"/>
    <w:rsid w:val="006865E3"/>
    <w:rsid w:val="00695279"/>
    <w:rsid w:val="00697389"/>
    <w:rsid w:val="006A3E07"/>
    <w:rsid w:val="006C2BEF"/>
    <w:rsid w:val="006C4BBC"/>
    <w:rsid w:val="006D6D43"/>
    <w:rsid w:val="006E4C17"/>
    <w:rsid w:val="006E5C01"/>
    <w:rsid w:val="006E6B43"/>
    <w:rsid w:val="00701673"/>
    <w:rsid w:val="00711203"/>
    <w:rsid w:val="007157FF"/>
    <w:rsid w:val="00715CC8"/>
    <w:rsid w:val="00735D1F"/>
    <w:rsid w:val="00746347"/>
    <w:rsid w:val="00781101"/>
    <w:rsid w:val="007A78DB"/>
    <w:rsid w:val="007B7AE5"/>
    <w:rsid w:val="007C0EEF"/>
    <w:rsid w:val="007E35F8"/>
    <w:rsid w:val="007E7682"/>
    <w:rsid w:val="00813947"/>
    <w:rsid w:val="008165DA"/>
    <w:rsid w:val="00833223"/>
    <w:rsid w:val="00850A49"/>
    <w:rsid w:val="00852C9A"/>
    <w:rsid w:val="00853930"/>
    <w:rsid w:val="008614C4"/>
    <w:rsid w:val="00866FE4"/>
    <w:rsid w:val="00877908"/>
    <w:rsid w:val="0088204B"/>
    <w:rsid w:val="008845E9"/>
    <w:rsid w:val="008861A1"/>
    <w:rsid w:val="00895A1D"/>
    <w:rsid w:val="008B2483"/>
    <w:rsid w:val="008B4F71"/>
    <w:rsid w:val="008D591E"/>
    <w:rsid w:val="008D5DB5"/>
    <w:rsid w:val="008D7304"/>
    <w:rsid w:val="008E30EE"/>
    <w:rsid w:val="008E37AD"/>
    <w:rsid w:val="008E3DDF"/>
    <w:rsid w:val="008E5A9F"/>
    <w:rsid w:val="008F5997"/>
    <w:rsid w:val="0091470D"/>
    <w:rsid w:val="00921B82"/>
    <w:rsid w:val="00922937"/>
    <w:rsid w:val="009269BE"/>
    <w:rsid w:val="00927C0C"/>
    <w:rsid w:val="009346AB"/>
    <w:rsid w:val="009432C4"/>
    <w:rsid w:val="00963744"/>
    <w:rsid w:val="00965129"/>
    <w:rsid w:val="00984FD7"/>
    <w:rsid w:val="00992D90"/>
    <w:rsid w:val="00993E9D"/>
    <w:rsid w:val="00996A80"/>
    <w:rsid w:val="009B08B0"/>
    <w:rsid w:val="009B660C"/>
    <w:rsid w:val="009C17F9"/>
    <w:rsid w:val="009C6EB3"/>
    <w:rsid w:val="009C7FD7"/>
    <w:rsid w:val="009D220B"/>
    <w:rsid w:val="009E6B9D"/>
    <w:rsid w:val="009E78E5"/>
    <w:rsid w:val="009F2CF5"/>
    <w:rsid w:val="00A444D6"/>
    <w:rsid w:val="00A45810"/>
    <w:rsid w:val="00A53FFE"/>
    <w:rsid w:val="00A74633"/>
    <w:rsid w:val="00A838D1"/>
    <w:rsid w:val="00AA6C37"/>
    <w:rsid w:val="00AC426E"/>
    <w:rsid w:val="00AC460C"/>
    <w:rsid w:val="00AF33C9"/>
    <w:rsid w:val="00AF498A"/>
    <w:rsid w:val="00B03C22"/>
    <w:rsid w:val="00B0569C"/>
    <w:rsid w:val="00B168F9"/>
    <w:rsid w:val="00B248EE"/>
    <w:rsid w:val="00B40119"/>
    <w:rsid w:val="00B54301"/>
    <w:rsid w:val="00B56F01"/>
    <w:rsid w:val="00B63679"/>
    <w:rsid w:val="00B636E4"/>
    <w:rsid w:val="00B663DC"/>
    <w:rsid w:val="00B77150"/>
    <w:rsid w:val="00BC18D8"/>
    <w:rsid w:val="00BC2B49"/>
    <w:rsid w:val="00C01978"/>
    <w:rsid w:val="00C01C8E"/>
    <w:rsid w:val="00C05714"/>
    <w:rsid w:val="00C0646B"/>
    <w:rsid w:val="00C11CA0"/>
    <w:rsid w:val="00C201CD"/>
    <w:rsid w:val="00C25BEA"/>
    <w:rsid w:val="00C27F34"/>
    <w:rsid w:val="00C3559B"/>
    <w:rsid w:val="00C533FA"/>
    <w:rsid w:val="00C53764"/>
    <w:rsid w:val="00C62E2B"/>
    <w:rsid w:val="00C662D2"/>
    <w:rsid w:val="00C67394"/>
    <w:rsid w:val="00C711AE"/>
    <w:rsid w:val="00C71C2E"/>
    <w:rsid w:val="00C93D3F"/>
    <w:rsid w:val="00CB1BF7"/>
    <w:rsid w:val="00CB2343"/>
    <w:rsid w:val="00CC1019"/>
    <w:rsid w:val="00CC3EEC"/>
    <w:rsid w:val="00CC5C2F"/>
    <w:rsid w:val="00CE2353"/>
    <w:rsid w:val="00CE6ED2"/>
    <w:rsid w:val="00CE7FDF"/>
    <w:rsid w:val="00CF4D07"/>
    <w:rsid w:val="00D144A1"/>
    <w:rsid w:val="00D200C5"/>
    <w:rsid w:val="00D22877"/>
    <w:rsid w:val="00D61CD5"/>
    <w:rsid w:val="00D6259D"/>
    <w:rsid w:val="00D7531F"/>
    <w:rsid w:val="00DA606E"/>
    <w:rsid w:val="00DB3DF1"/>
    <w:rsid w:val="00DB6083"/>
    <w:rsid w:val="00DC048E"/>
    <w:rsid w:val="00DC1A4D"/>
    <w:rsid w:val="00DD2098"/>
    <w:rsid w:val="00DE4766"/>
    <w:rsid w:val="00DE76FB"/>
    <w:rsid w:val="00DF5861"/>
    <w:rsid w:val="00E042A6"/>
    <w:rsid w:val="00E119D6"/>
    <w:rsid w:val="00E32B72"/>
    <w:rsid w:val="00E4339E"/>
    <w:rsid w:val="00E53298"/>
    <w:rsid w:val="00E60C3C"/>
    <w:rsid w:val="00E63AB7"/>
    <w:rsid w:val="00E657EF"/>
    <w:rsid w:val="00E7178F"/>
    <w:rsid w:val="00E83952"/>
    <w:rsid w:val="00E91B46"/>
    <w:rsid w:val="00EA392A"/>
    <w:rsid w:val="00EA4693"/>
    <w:rsid w:val="00ED1416"/>
    <w:rsid w:val="00EE1228"/>
    <w:rsid w:val="00EE1935"/>
    <w:rsid w:val="00EE746E"/>
    <w:rsid w:val="00F04EE7"/>
    <w:rsid w:val="00F04FBD"/>
    <w:rsid w:val="00F05DF1"/>
    <w:rsid w:val="00F05E7F"/>
    <w:rsid w:val="00F114DC"/>
    <w:rsid w:val="00F37827"/>
    <w:rsid w:val="00F603F2"/>
    <w:rsid w:val="00F66D8B"/>
    <w:rsid w:val="00F800E0"/>
    <w:rsid w:val="00F83AC8"/>
    <w:rsid w:val="00F8659B"/>
    <w:rsid w:val="00FA2B00"/>
    <w:rsid w:val="00FA766F"/>
    <w:rsid w:val="00FC5BD4"/>
    <w:rsid w:val="00FD1184"/>
    <w:rsid w:val="00FE1779"/>
    <w:rsid w:val="00FE39C0"/>
    <w:rsid w:val="00FE6A06"/>
    <w:rsid w:val="00FE7D41"/>
    <w:rsid w:val="00FF0C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84AE60DA-8EA8-46BF-A01B-8088FC39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8DB"/>
    <w:pPr>
      <w:tabs>
        <w:tab w:val="left" w:pos="1134"/>
        <w:tab w:val="left" w:pos="2268"/>
        <w:tab w:val="left" w:pos="3402"/>
        <w:tab w:val="left" w:pos="4536"/>
        <w:tab w:val="left" w:pos="5670"/>
      </w:tabs>
      <w:spacing w:line="288" w:lineRule="auto"/>
      <w:jc w:val="both"/>
    </w:pPr>
    <w:rPr>
      <w:rFonts w:ascii="Verdana" w:eastAsia="Times" w:hAnsi="Verdana"/>
      <w:spacing w:val="6"/>
      <w:sz w:val="19"/>
    </w:rPr>
  </w:style>
  <w:style w:type="paragraph" w:styleId="Overskrift1">
    <w:name w:val="heading 1"/>
    <w:basedOn w:val="Normal"/>
    <w:next w:val="Normal"/>
    <w:uiPriority w:val="99"/>
    <w:qFormat/>
    <w:rsid w:val="00E7178F"/>
    <w:pPr>
      <w:keepNext/>
      <w:numPr>
        <w:numId w:val="6"/>
      </w:numPr>
      <w:tabs>
        <w:tab w:val="clear" w:pos="1134"/>
      </w:tabs>
      <w:spacing w:beforeLines="150" w:after="120"/>
      <w:outlineLvl w:val="0"/>
    </w:pPr>
    <w:rPr>
      <w:b/>
      <w:kern w:val="28"/>
    </w:rPr>
  </w:style>
  <w:style w:type="paragraph" w:styleId="Overskrift2">
    <w:name w:val="heading 2"/>
    <w:basedOn w:val="Normal"/>
    <w:next w:val="Normal"/>
    <w:qFormat/>
    <w:rsid w:val="00FE39C0"/>
    <w:pPr>
      <w:numPr>
        <w:ilvl w:val="1"/>
        <w:numId w:val="6"/>
      </w:numPr>
      <w:spacing w:before="120"/>
      <w:outlineLvl w:val="1"/>
    </w:pPr>
    <w:rPr>
      <w:rFonts w:cs="Arial"/>
      <w:bCs/>
      <w:iCs/>
      <w:szCs w:val="28"/>
    </w:rPr>
  </w:style>
  <w:style w:type="paragraph" w:styleId="Overskrift3">
    <w:name w:val="heading 3"/>
    <w:basedOn w:val="Normal"/>
    <w:next w:val="Normal"/>
    <w:qFormat/>
    <w:rsid w:val="001220DC"/>
    <w:pPr>
      <w:keepNext/>
      <w:numPr>
        <w:ilvl w:val="2"/>
        <w:numId w:val="6"/>
      </w:numPr>
      <w:spacing w:before="120"/>
      <w:ind w:left="1701" w:hanging="992"/>
      <w:outlineLvl w:val="2"/>
    </w:pPr>
    <w:rPr>
      <w:rFonts w:cs="Arial"/>
      <w:bCs/>
      <w:szCs w:val="19"/>
    </w:rPr>
  </w:style>
  <w:style w:type="paragraph" w:styleId="Overskrift6">
    <w:name w:val="heading 6"/>
    <w:basedOn w:val="Normal"/>
    <w:next w:val="Normal"/>
    <w:link w:val="Overskrift6Tegn"/>
    <w:semiHidden/>
    <w:unhideWhenUsed/>
    <w:qFormat/>
    <w:rsid w:val="00201C8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330456"/>
    <w:pPr>
      <w:tabs>
        <w:tab w:val="center" w:pos="4819"/>
        <w:tab w:val="right" w:pos="9638"/>
      </w:tabs>
    </w:pPr>
  </w:style>
  <w:style w:type="paragraph" w:styleId="Sidefod">
    <w:name w:val="footer"/>
    <w:basedOn w:val="Normal"/>
    <w:link w:val="SidefodTegn"/>
    <w:uiPriority w:val="99"/>
    <w:rsid w:val="00330456"/>
    <w:pPr>
      <w:tabs>
        <w:tab w:val="center" w:pos="4819"/>
        <w:tab w:val="right" w:pos="9638"/>
      </w:tabs>
    </w:pPr>
  </w:style>
  <w:style w:type="paragraph" w:styleId="Indholdsfortegnelse1">
    <w:name w:val="toc 1"/>
    <w:basedOn w:val="Normal"/>
    <w:next w:val="Normal"/>
    <w:uiPriority w:val="39"/>
    <w:rsid w:val="003D503B"/>
    <w:pPr>
      <w:tabs>
        <w:tab w:val="clear" w:pos="1134"/>
        <w:tab w:val="clear" w:pos="2268"/>
        <w:tab w:val="clear" w:pos="3402"/>
        <w:tab w:val="clear" w:pos="4536"/>
        <w:tab w:val="clear" w:pos="5670"/>
        <w:tab w:val="left" w:pos="567"/>
        <w:tab w:val="right" w:leader="dot" w:pos="9072"/>
      </w:tabs>
      <w:spacing w:before="120" w:after="120"/>
      <w:ind w:left="567"/>
      <w:jc w:val="left"/>
    </w:pPr>
    <w:rPr>
      <w:bCs/>
    </w:rPr>
  </w:style>
  <w:style w:type="paragraph" w:customStyle="1" w:styleId="Dokumenttitel">
    <w:name w:val="Dokumenttitel"/>
    <w:basedOn w:val="Normal"/>
    <w:rsid w:val="00B54301"/>
    <w:pPr>
      <w:spacing w:before="720" w:after="480"/>
      <w:jc w:val="center"/>
    </w:pPr>
    <w:rPr>
      <w:caps/>
      <w:sz w:val="28"/>
      <w:szCs w:val="28"/>
    </w:rPr>
  </w:style>
  <w:style w:type="character" w:styleId="Hyperlink">
    <w:name w:val="Hyperlink"/>
    <w:basedOn w:val="Standardskrifttypeiafsnit"/>
    <w:uiPriority w:val="99"/>
    <w:rsid w:val="00F04EE7"/>
    <w:rPr>
      <w:color w:val="0000FF"/>
      <w:u w:val="single"/>
    </w:rPr>
  </w:style>
  <w:style w:type="paragraph" w:customStyle="1" w:styleId="Indrykketbrdtekst">
    <w:name w:val="Indrykket brødtekst"/>
    <w:basedOn w:val="Normal"/>
    <w:rsid w:val="00927C0C"/>
    <w:pPr>
      <w:ind w:left="709"/>
    </w:pPr>
  </w:style>
  <w:style w:type="paragraph" w:customStyle="1" w:styleId="Brevoplysninger">
    <w:name w:val="Brevoplysninger"/>
    <w:basedOn w:val="Normal"/>
    <w:rsid w:val="00484B0A"/>
    <w:pPr>
      <w:framePr w:w="4536" w:hSpace="142" w:vSpace="142" w:wrap="notBeside" w:vAnchor="page" w:hAnchor="margin" w:xAlign="right" w:y="4707"/>
      <w:tabs>
        <w:tab w:val="left" w:pos="624"/>
      </w:tabs>
      <w:ind w:left="624" w:hanging="624"/>
      <w:jc w:val="right"/>
    </w:pPr>
    <w:rPr>
      <w:spacing w:val="0"/>
    </w:rPr>
  </w:style>
  <w:style w:type="paragraph" w:customStyle="1" w:styleId="Medvenlighilsen">
    <w:name w:val="Med venlig hilsen"/>
    <w:basedOn w:val="Normal"/>
    <w:rsid w:val="00E119D6"/>
    <w:pPr>
      <w:jc w:val="center"/>
    </w:pPr>
  </w:style>
  <w:style w:type="paragraph" w:styleId="Indholdsfortegnelse2">
    <w:name w:val="toc 2"/>
    <w:basedOn w:val="Normal"/>
    <w:next w:val="Normal"/>
    <w:autoRedefine/>
    <w:uiPriority w:val="39"/>
    <w:rsid w:val="003D503B"/>
    <w:pPr>
      <w:tabs>
        <w:tab w:val="clear" w:pos="1134"/>
        <w:tab w:val="clear" w:pos="2268"/>
        <w:tab w:val="clear" w:pos="3402"/>
        <w:tab w:val="clear" w:pos="4536"/>
        <w:tab w:val="clear" w:pos="5670"/>
        <w:tab w:val="left" w:pos="1418"/>
        <w:tab w:val="right" w:leader="dot" w:pos="9072"/>
      </w:tabs>
      <w:ind w:left="1418" w:hanging="851"/>
    </w:pPr>
  </w:style>
  <w:style w:type="paragraph" w:styleId="Indholdsfortegnelse3">
    <w:name w:val="toc 3"/>
    <w:basedOn w:val="Normal"/>
    <w:next w:val="Normal"/>
    <w:autoRedefine/>
    <w:uiPriority w:val="39"/>
    <w:rsid w:val="003D503B"/>
    <w:pPr>
      <w:tabs>
        <w:tab w:val="clear" w:pos="1134"/>
        <w:tab w:val="clear" w:pos="2268"/>
        <w:tab w:val="clear" w:pos="3402"/>
        <w:tab w:val="clear" w:pos="4536"/>
        <w:tab w:val="clear" w:pos="5670"/>
        <w:tab w:val="left" w:pos="1418"/>
        <w:tab w:val="right" w:leader="dot" w:pos="9072"/>
      </w:tabs>
      <w:ind w:left="1418" w:hanging="851"/>
    </w:pPr>
  </w:style>
  <w:style w:type="paragraph" w:customStyle="1" w:styleId="Logotop">
    <w:name w:val="Logo top"/>
    <w:basedOn w:val="Normal"/>
    <w:rsid w:val="00C201CD"/>
    <w:pPr>
      <w:framePr w:w="3686" w:wrap="around" w:vAnchor="page" w:hAnchor="page" w:x="7485" w:y="568"/>
      <w:spacing w:line="360" w:lineRule="auto"/>
    </w:pPr>
    <w:rPr>
      <w:spacing w:val="0"/>
      <w:sz w:val="20"/>
    </w:rPr>
  </w:style>
  <w:style w:type="paragraph" w:styleId="Indholdsfortegnelse4">
    <w:name w:val="toc 4"/>
    <w:basedOn w:val="Normal"/>
    <w:next w:val="Normal"/>
    <w:autoRedefine/>
    <w:rsid w:val="003561CB"/>
    <w:pPr>
      <w:tabs>
        <w:tab w:val="clear" w:pos="1134"/>
        <w:tab w:val="clear" w:pos="2268"/>
        <w:tab w:val="clear" w:pos="3402"/>
        <w:tab w:val="clear" w:pos="4536"/>
        <w:tab w:val="clear" w:pos="5670"/>
      </w:tabs>
      <w:ind w:left="570"/>
    </w:pPr>
  </w:style>
  <w:style w:type="paragraph" w:styleId="Indholdsfortegnelse5">
    <w:name w:val="toc 5"/>
    <w:basedOn w:val="Normal"/>
    <w:next w:val="Normal"/>
    <w:autoRedefine/>
    <w:rsid w:val="003561CB"/>
    <w:pPr>
      <w:tabs>
        <w:tab w:val="clear" w:pos="1134"/>
        <w:tab w:val="clear" w:pos="2268"/>
        <w:tab w:val="clear" w:pos="3402"/>
        <w:tab w:val="clear" w:pos="4536"/>
        <w:tab w:val="clear" w:pos="5670"/>
      </w:tabs>
      <w:ind w:left="760"/>
    </w:pPr>
  </w:style>
  <w:style w:type="paragraph" w:styleId="Indholdsfortegnelse6">
    <w:name w:val="toc 6"/>
    <w:basedOn w:val="Normal"/>
    <w:next w:val="Normal"/>
    <w:autoRedefine/>
    <w:rsid w:val="003561CB"/>
    <w:pPr>
      <w:tabs>
        <w:tab w:val="clear" w:pos="1134"/>
        <w:tab w:val="clear" w:pos="2268"/>
        <w:tab w:val="clear" w:pos="3402"/>
        <w:tab w:val="clear" w:pos="4536"/>
        <w:tab w:val="clear" w:pos="5670"/>
      </w:tabs>
      <w:ind w:left="950"/>
    </w:pPr>
  </w:style>
  <w:style w:type="paragraph" w:styleId="Indholdsfortegnelse7">
    <w:name w:val="toc 7"/>
    <w:basedOn w:val="Normal"/>
    <w:next w:val="Normal"/>
    <w:autoRedefine/>
    <w:rsid w:val="003561CB"/>
    <w:pPr>
      <w:tabs>
        <w:tab w:val="clear" w:pos="1134"/>
        <w:tab w:val="clear" w:pos="2268"/>
        <w:tab w:val="clear" w:pos="3402"/>
        <w:tab w:val="clear" w:pos="4536"/>
        <w:tab w:val="clear" w:pos="5670"/>
      </w:tabs>
      <w:ind w:left="1140"/>
    </w:pPr>
  </w:style>
  <w:style w:type="paragraph" w:styleId="Indholdsfortegnelse8">
    <w:name w:val="toc 8"/>
    <w:basedOn w:val="Normal"/>
    <w:next w:val="Normal"/>
    <w:autoRedefine/>
    <w:rsid w:val="003561CB"/>
    <w:pPr>
      <w:tabs>
        <w:tab w:val="clear" w:pos="1134"/>
        <w:tab w:val="clear" w:pos="2268"/>
        <w:tab w:val="clear" w:pos="3402"/>
        <w:tab w:val="clear" w:pos="4536"/>
        <w:tab w:val="clear" w:pos="5670"/>
      </w:tabs>
      <w:ind w:left="1330"/>
    </w:pPr>
  </w:style>
  <w:style w:type="paragraph" w:styleId="Indholdsfortegnelse9">
    <w:name w:val="toc 9"/>
    <w:basedOn w:val="Normal"/>
    <w:next w:val="Normal"/>
    <w:autoRedefine/>
    <w:rsid w:val="003561CB"/>
    <w:pPr>
      <w:tabs>
        <w:tab w:val="clear" w:pos="1134"/>
        <w:tab w:val="clear" w:pos="2268"/>
        <w:tab w:val="clear" w:pos="3402"/>
        <w:tab w:val="clear" w:pos="4536"/>
        <w:tab w:val="clear" w:pos="5670"/>
      </w:tabs>
      <w:ind w:left="1520"/>
    </w:pPr>
  </w:style>
  <w:style w:type="paragraph" w:styleId="Markeringsbobletekst">
    <w:name w:val="Balloon Text"/>
    <w:basedOn w:val="Normal"/>
    <w:link w:val="MarkeringsbobletekstTegn"/>
    <w:rsid w:val="006207B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6207B8"/>
    <w:rPr>
      <w:rFonts w:ascii="Tahoma" w:eastAsia="Times" w:hAnsi="Tahoma" w:cs="Tahoma"/>
      <w:spacing w:val="6"/>
      <w:sz w:val="16"/>
      <w:szCs w:val="16"/>
    </w:rPr>
  </w:style>
  <w:style w:type="paragraph" w:customStyle="1" w:styleId="Bilagstitel">
    <w:name w:val="Bilagstitel"/>
    <w:basedOn w:val="Titel"/>
    <w:next w:val="Normal"/>
    <w:rsid w:val="006207B8"/>
    <w:pPr>
      <w:pBdr>
        <w:bottom w:val="none" w:sz="0" w:space="0" w:color="auto"/>
      </w:pBdr>
      <w:tabs>
        <w:tab w:val="clear" w:pos="1134"/>
        <w:tab w:val="clear" w:pos="2268"/>
        <w:tab w:val="clear" w:pos="3402"/>
        <w:tab w:val="clear" w:pos="4536"/>
        <w:tab w:val="clear" w:pos="5670"/>
      </w:tabs>
      <w:spacing w:before="240" w:after="240" w:line="360" w:lineRule="auto"/>
      <w:contextualSpacing w:val="0"/>
      <w:jc w:val="left"/>
      <w:outlineLvl w:val="0"/>
    </w:pPr>
    <w:rPr>
      <w:rFonts w:ascii="Verdana" w:eastAsia="Times New Roman" w:hAnsi="Verdana" w:cs="Times New Roman"/>
      <w:b/>
      <w:bCs/>
      <w:smallCaps/>
      <w:color w:val="auto"/>
      <w:spacing w:val="6"/>
      <w:sz w:val="22"/>
      <w:szCs w:val="32"/>
    </w:rPr>
  </w:style>
  <w:style w:type="paragraph" w:styleId="Titel">
    <w:name w:val="Title"/>
    <w:basedOn w:val="Normal"/>
    <w:next w:val="Normal"/>
    <w:link w:val="TitelTegn"/>
    <w:qFormat/>
    <w:rsid w:val="006207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rsid w:val="006207B8"/>
    <w:rPr>
      <w:rFonts w:asciiTheme="majorHAnsi" w:eastAsiaTheme="majorEastAsia" w:hAnsiTheme="majorHAnsi" w:cstheme="majorBidi"/>
      <w:color w:val="17365D" w:themeColor="text2" w:themeShade="BF"/>
      <w:spacing w:val="5"/>
      <w:kern w:val="28"/>
      <w:sz w:val="52"/>
      <w:szCs w:val="52"/>
    </w:rPr>
  </w:style>
  <w:style w:type="character" w:customStyle="1" w:styleId="Overskrift6Tegn">
    <w:name w:val="Overskrift 6 Tegn"/>
    <w:basedOn w:val="Standardskrifttypeiafsnit"/>
    <w:link w:val="Overskrift6"/>
    <w:rsid w:val="00201C8F"/>
    <w:rPr>
      <w:rFonts w:asciiTheme="majorHAnsi" w:eastAsiaTheme="majorEastAsia" w:hAnsiTheme="majorHAnsi" w:cstheme="majorBidi"/>
      <w:i/>
      <w:iCs/>
      <w:color w:val="243F60" w:themeColor="accent1" w:themeShade="7F"/>
      <w:spacing w:val="6"/>
      <w:sz w:val="19"/>
    </w:rPr>
  </w:style>
  <w:style w:type="character" w:styleId="Kommentarhenvisning">
    <w:name w:val="annotation reference"/>
    <w:basedOn w:val="Standardskrifttypeiafsnit"/>
    <w:rsid w:val="00080E4E"/>
    <w:rPr>
      <w:sz w:val="16"/>
      <w:szCs w:val="16"/>
    </w:rPr>
  </w:style>
  <w:style w:type="paragraph" w:styleId="Kommentartekst">
    <w:name w:val="annotation text"/>
    <w:basedOn w:val="Normal"/>
    <w:link w:val="KommentartekstTegn"/>
    <w:rsid w:val="00080E4E"/>
    <w:pPr>
      <w:spacing w:line="240" w:lineRule="auto"/>
    </w:pPr>
    <w:rPr>
      <w:sz w:val="20"/>
    </w:rPr>
  </w:style>
  <w:style w:type="character" w:customStyle="1" w:styleId="KommentartekstTegn">
    <w:name w:val="Kommentartekst Tegn"/>
    <w:basedOn w:val="Standardskrifttypeiafsnit"/>
    <w:link w:val="Kommentartekst"/>
    <w:rsid w:val="00080E4E"/>
    <w:rPr>
      <w:rFonts w:ascii="Verdana" w:eastAsia="Times" w:hAnsi="Verdana"/>
      <w:spacing w:val="6"/>
    </w:rPr>
  </w:style>
  <w:style w:type="paragraph" w:styleId="Kommentaremne">
    <w:name w:val="annotation subject"/>
    <w:basedOn w:val="Kommentartekst"/>
    <w:next w:val="Kommentartekst"/>
    <w:link w:val="KommentaremneTegn"/>
    <w:rsid w:val="00080E4E"/>
    <w:rPr>
      <w:b/>
      <w:bCs/>
    </w:rPr>
  </w:style>
  <w:style w:type="character" w:customStyle="1" w:styleId="KommentaremneTegn">
    <w:name w:val="Kommentaremne Tegn"/>
    <w:basedOn w:val="KommentartekstTegn"/>
    <w:link w:val="Kommentaremne"/>
    <w:rsid w:val="00080E4E"/>
    <w:rPr>
      <w:rFonts w:ascii="Verdana" w:eastAsia="Times" w:hAnsi="Verdana"/>
      <w:b/>
      <w:bCs/>
      <w:spacing w:val="6"/>
    </w:rPr>
  </w:style>
  <w:style w:type="character" w:customStyle="1" w:styleId="SidefodTegn">
    <w:name w:val="Sidefod Tegn"/>
    <w:basedOn w:val="Standardskrifttypeiafsnit"/>
    <w:link w:val="Sidefod"/>
    <w:uiPriority w:val="99"/>
    <w:rsid w:val="004E6B13"/>
    <w:rPr>
      <w:rFonts w:ascii="Verdana" w:eastAsia="Times" w:hAnsi="Verdana"/>
      <w:spacing w:val="6"/>
      <w:sz w:val="19"/>
    </w:rPr>
  </w:style>
  <w:style w:type="paragraph" w:styleId="Listeafsnit">
    <w:name w:val="List Paragraph"/>
    <w:basedOn w:val="Normal"/>
    <w:uiPriority w:val="34"/>
    <w:qFormat/>
    <w:rsid w:val="00C25BEA"/>
    <w:pPr>
      <w:ind w:left="720"/>
      <w:contextualSpacing/>
    </w:pPr>
  </w:style>
  <w:style w:type="character" w:customStyle="1" w:styleId="SidehovedTegn">
    <w:name w:val="Sidehoved Tegn"/>
    <w:basedOn w:val="Standardskrifttypeiafsnit"/>
    <w:link w:val="Sidehoved"/>
    <w:uiPriority w:val="99"/>
    <w:locked/>
    <w:rsid w:val="00DA606E"/>
    <w:rPr>
      <w:rFonts w:ascii="Verdana" w:eastAsia="Times" w:hAnsi="Verdana"/>
      <w:spacing w:val="6"/>
      <w:sz w:val="19"/>
    </w:rPr>
  </w:style>
  <w:style w:type="paragraph" w:styleId="Ingenafstand">
    <w:name w:val="No Spacing"/>
    <w:link w:val="IngenafstandTegn"/>
    <w:uiPriority w:val="1"/>
    <w:qFormat/>
    <w:rsid w:val="00DA606E"/>
    <w:rPr>
      <w:rFonts w:asciiTheme="minorHAnsi" w:eastAsiaTheme="minorEastAsia" w:hAnsiTheme="minorHAnsi" w:cstheme="minorBidi"/>
      <w:sz w:val="22"/>
      <w:szCs w:val="22"/>
      <w:lang w:eastAsia="en-US"/>
    </w:rPr>
  </w:style>
  <w:style w:type="character" w:customStyle="1" w:styleId="IngenafstandTegn">
    <w:name w:val="Ingen afstand Tegn"/>
    <w:basedOn w:val="Standardskrifttypeiafsnit"/>
    <w:link w:val="Ingenafstand"/>
    <w:uiPriority w:val="1"/>
    <w:rsid w:val="00DA606E"/>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unik\advosys\skabelon\Notat%20-%20DK%20logo.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Notat - DK logo</Template>
  <TotalTime>0</TotalTime>
  <Pages>5</Pages>
  <Words>848</Words>
  <Characters>5173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Bilag 11 - Servicemål og reduktion</vt:lpstr>
    </vt:vector>
  </TitlesOfParts>
  <Company>Vordingborg Kommune</Company>
  <LinksUpToDate>false</LinksUpToDate>
  <CharactersWithSpaces>6009</CharactersWithSpaces>
  <SharedDoc>false</SharedDoc>
  <HLinks>
    <vt:vector size="12" baseType="variant">
      <vt:variant>
        <vt:i4>6357020</vt:i4>
      </vt:variant>
      <vt:variant>
        <vt:i4>2214</vt:i4>
      </vt:variant>
      <vt:variant>
        <vt:i4>1025</vt:i4>
      </vt:variant>
      <vt:variant>
        <vt:i4>1</vt:i4>
      </vt:variant>
      <vt:variant>
        <vt:lpwstr>\\172.19.4.10\Faelles\Unik\Advosys\Skabelon\Bvhd logo til skabelonerTop.png</vt:lpwstr>
      </vt:variant>
      <vt:variant>
        <vt:lpwstr/>
      </vt:variant>
      <vt:variant>
        <vt:i4>6357020</vt:i4>
      </vt:variant>
      <vt:variant>
        <vt:i4>3455</vt:i4>
      </vt:variant>
      <vt:variant>
        <vt:i4>1026</vt:i4>
      </vt:variant>
      <vt:variant>
        <vt:i4>1</vt:i4>
      </vt:variant>
      <vt:variant>
        <vt:lpwstr>\\172.19.4.10\Faelles\Unik\Advosys\Skabelon\Bvhd logo til skabelonerTop.png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11 - Servicemål og reduktion</dc:title>
  <dc:subject>Udbud på løsninger til administrativ styring i Vordingborg Kommune 2011</dc:subject>
  <dc:creator>Janne Wellendorf</dc:creator>
  <cp:lastModifiedBy>Monica Lumbye Aagaard Handberg</cp:lastModifiedBy>
  <cp:revision>2</cp:revision>
  <cp:lastPrinted>2011-05-23T08:49:00Z</cp:lastPrinted>
  <dcterms:created xsi:type="dcterms:W3CDTF">2015-12-07T10:02:00Z</dcterms:created>
  <dcterms:modified xsi:type="dcterms:W3CDTF">2015-12-07T10:02:00Z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mNavn">
    <vt:lpwstr>X:\Unik\Advosys 4\Advosys\DOKUMENT\HB\300\25628\100_43.DOCX</vt:lpwstr>
  </property>
  <property fmtid="{D5CDD505-2E9C-101B-9397-08002B2CF9AE}" pid="3" name="FlereParter">
    <vt:lpwstr>0</vt:lpwstr>
  </property>
  <property fmtid="{D5CDD505-2E9C-101B-9397-08002B2CF9AE}" pid="4" name="FaxMakNr">
    <vt:lpwstr>[Fax: ]</vt:lpwstr>
  </property>
  <property fmtid="{D5CDD505-2E9C-101B-9397-08002B2CF9AE}" pid="5" name="EmailAdresse">
    <vt:lpwstr/>
  </property>
  <property fmtid="{D5CDD505-2E9C-101B-9397-08002B2CF9AE}" pid="6" name="Stamnr1">
    <vt:lpwstr>390</vt:lpwstr>
  </property>
  <property fmtid="{D5CDD505-2E9C-101B-9397-08002B2CF9AE}" pid="7" name="AntalMails">
    <vt:lpwstr>0</vt:lpwstr>
  </property>
</Properties>
</file>